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B144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2552F">
              <w:rPr>
                <w:u w:val="single"/>
              </w:rPr>
              <w:t>F557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C5159" w:rsidP="00A2552F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CE6.b</w:t>
            </w:r>
            <w:r w:rsidR="003E049A">
              <w:rPr>
                <w:b/>
                <w:szCs w:val="22"/>
              </w:rPr>
              <w:t xml:space="preserve"> SDIP Harmonization: Cross Check Results for Test 5 on MDIS and Test 7 on Deblocking</w:t>
            </w:r>
            <w:r w:rsidR="0076129B">
              <w:rPr>
                <w:b/>
                <w:szCs w:val="22"/>
              </w:rPr>
              <w:t xml:space="preserve"> (JCTVC-F532)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500A2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6D56CE" w:rsidP="003E049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G. Van der Auwera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2D6AE8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3E049A">
              <w:rPr>
                <w:szCs w:val="22"/>
              </w:rPr>
              <w:t>geertv@qualcomm.com</w:t>
            </w:r>
          </w:p>
          <w:p w:rsidR="003E049A" w:rsidRDefault="003E049A">
            <w:pPr>
              <w:spacing w:before="60" w:after="60"/>
              <w:rPr>
                <w:szCs w:val="22"/>
              </w:rPr>
            </w:pPr>
          </w:p>
          <w:p w:rsidR="00E61DAC" w:rsidRPr="00AE341B" w:rsidRDefault="00E61DAC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1E0F9A" w:rsidP="009234A5">
      <w:pPr>
        <w:jc w:val="both"/>
        <w:rPr>
          <w:szCs w:val="22"/>
        </w:rPr>
      </w:pPr>
      <w:r>
        <w:rPr>
          <w:szCs w:val="22"/>
        </w:rPr>
        <w:t xml:space="preserve">This document contains cross check results for CE6.b on </w:t>
      </w:r>
      <w:r w:rsidR="004246BC">
        <w:rPr>
          <w:szCs w:val="22"/>
        </w:rPr>
        <w:t xml:space="preserve">the harmonization of </w:t>
      </w:r>
      <w:r>
        <w:rPr>
          <w:szCs w:val="22"/>
        </w:rPr>
        <w:t xml:space="preserve">SDIP </w:t>
      </w:r>
      <w:r w:rsidR="00C40ADC">
        <w:rPr>
          <w:szCs w:val="22"/>
        </w:rPr>
        <w:t>with</w:t>
      </w:r>
      <w:r>
        <w:rPr>
          <w:szCs w:val="22"/>
        </w:rPr>
        <w:t xml:space="preserve"> the MDIS tool (Test 5</w:t>
      </w:r>
      <w:r w:rsidR="004246BC">
        <w:rPr>
          <w:szCs w:val="22"/>
        </w:rPr>
        <w:t>: cases 1, 2</w:t>
      </w:r>
      <w:r>
        <w:rPr>
          <w:szCs w:val="22"/>
        </w:rPr>
        <w:t xml:space="preserve">) and the </w:t>
      </w:r>
      <w:r w:rsidR="00C40ADC">
        <w:rPr>
          <w:szCs w:val="22"/>
        </w:rPr>
        <w:t xml:space="preserve">HM3 </w:t>
      </w:r>
      <w:r>
        <w:rPr>
          <w:szCs w:val="22"/>
        </w:rPr>
        <w:t>deblocking filter (Test 7</w:t>
      </w:r>
      <w:r w:rsidR="004246BC">
        <w:rPr>
          <w:szCs w:val="22"/>
        </w:rPr>
        <w:t>: cases 1, 2</w:t>
      </w:r>
      <w:r>
        <w:rPr>
          <w:szCs w:val="22"/>
        </w:rPr>
        <w:t xml:space="preserve">). The BD-rate results </w:t>
      </w:r>
      <w:r w:rsidR="00C40ADC">
        <w:rPr>
          <w:szCs w:val="22"/>
        </w:rPr>
        <w:t xml:space="preserve">match </w:t>
      </w:r>
      <w:r>
        <w:rPr>
          <w:szCs w:val="22"/>
        </w:rPr>
        <w:t>the results</w:t>
      </w:r>
      <w:r w:rsidR="0076129B">
        <w:rPr>
          <w:szCs w:val="22"/>
        </w:rPr>
        <w:t xml:space="preserve"> </w:t>
      </w:r>
      <w:r w:rsidR="004246BC">
        <w:rPr>
          <w:szCs w:val="22"/>
        </w:rPr>
        <w:t xml:space="preserve">reported </w:t>
      </w:r>
      <w:r w:rsidR="0076129B">
        <w:rPr>
          <w:szCs w:val="22"/>
        </w:rPr>
        <w:t>in JCTVC-F532. Encoding and decoding times are similar</w:t>
      </w:r>
      <w:r>
        <w:rPr>
          <w:szCs w:val="22"/>
        </w:rPr>
        <w:t>.</w:t>
      </w:r>
    </w:p>
    <w:p w:rsidR="00745F6B" w:rsidRPr="00AE341B" w:rsidRDefault="00C40ADC" w:rsidP="00E11923">
      <w:pPr>
        <w:pStyle w:val="Heading1"/>
      </w:pPr>
      <w:r>
        <w:t>Cross Check</w:t>
      </w:r>
      <w:r w:rsidR="002B1F33">
        <w:t xml:space="preserve"> Results for CE6.b Test 5 on MDIS</w:t>
      </w:r>
    </w:p>
    <w:p w:rsidR="009C6D2D" w:rsidRDefault="00E979D9" w:rsidP="009234A5">
      <w:pPr>
        <w:jc w:val="both"/>
        <w:rPr>
          <w:szCs w:val="22"/>
        </w:rPr>
      </w:pPr>
      <w:r>
        <w:rPr>
          <w:szCs w:val="22"/>
        </w:rPr>
        <w:t xml:space="preserve">The following two cases from Test 5 of CE6.b </w:t>
      </w:r>
      <w:r w:rsidR="00C70843">
        <w:rPr>
          <w:szCs w:val="22"/>
        </w:rPr>
        <w:t>[</w:t>
      </w:r>
      <w:r w:rsidR="009B1443">
        <w:rPr>
          <w:szCs w:val="22"/>
        </w:rPr>
        <w:fldChar w:fldCharType="begin"/>
      </w:r>
      <w:r w:rsidR="00C70843">
        <w:rPr>
          <w:szCs w:val="22"/>
        </w:rPr>
        <w:instrText xml:space="preserve"> REF _Ref297300090 \r \h </w:instrText>
      </w:r>
      <w:r w:rsidR="009B1443">
        <w:rPr>
          <w:szCs w:val="22"/>
        </w:rPr>
      </w:r>
      <w:r w:rsidR="009B1443">
        <w:rPr>
          <w:szCs w:val="22"/>
        </w:rPr>
        <w:fldChar w:fldCharType="separate"/>
      </w:r>
      <w:r w:rsidR="00E671BB">
        <w:rPr>
          <w:szCs w:val="22"/>
        </w:rPr>
        <w:t>1</w:t>
      </w:r>
      <w:r w:rsidR="009B1443">
        <w:rPr>
          <w:szCs w:val="22"/>
        </w:rPr>
        <w:fldChar w:fldCharType="end"/>
      </w:r>
      <w:r w:rsidR="00C70843">
        <w:rPr>
          <w:szCs w:val="22"/>
        </w:rPr>
        <w:t xml:space="preserve">] </w:t>
      </w:r>
      <w:r>
        <w:rPr>
          <w:szCs w:val="22"/>
        </w:rPr>
        <w:t>are cross checked:</w:t>
      </w:r>
    </w:p>
    <w:p w:rsidR="00E979D9" w:rsidRDefault="00E979D9" w:rsidP="00E979D9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HM3 anchor </w:t>
      </w:r>
      <w:r w:rsidR="00CE4BCE">
        <w:rPr>
          <w:szCs w:val="22"/>
        </w:rPr>
        <w:t xml:space="preserve">(rev823) </w:t>
      </w:r>
      <w:r>
        <w:rPr>
          <w:szCs w:val="22"/>
        </w:rPr>
        <w:t>versus HM3 with MDIS tool turned off (QC_MDIS=0)</w:t>
      </w:r>
    </w:p>
    <w:p w:rsidR="00E979D9" w:rsidRDefault="00E979D9" w:rsidP="00E979D9">
      <w:pPr>
        <w:numPr>
          <w:ilvl w:val="0"/>
          <w:numId w:val="11"/>
        </w:numPr>
        <w:jc w:val="both"/>
        <w:rPr>
          <w:szCs w:val="22"/>
        </w:rPr>
      </w:pPr>
      <w:r>
        <w:rPr>
          <w:szCs w:val="22"/>
        </w:rPr>
        <w:t xml:space="preserve">HM3-SDIP </w:t>
      </w:r>
      <w:r w:rsidR="00CE4BCE">
        <w:rPr>
          <w:szCs w:val="22"/>
        </w:rPr>
        <w:t xml:space="preserve">(rev866) </w:t>
      </w:r>
      <w:r>
        <w:rPr>
          <w:szCs w:val="22"/>
        </w:rPr>
        <w:t>versus HM3-SDIP with MDIS turned off (QC_MDIS=0)</w:t>
      </w:r>
    </w:p>
    <w:p w:rsidR="009C6D2D" w:rsidRDefault="00E979D9" w:rsidP="009234A5">
      <w:pPr>
        <w:jc w:val="both"/>
        <w:rPr>
          <w:szCs w:val="22"/>
        </w:rPr>
      </w:pPr>
      <w:r>
        <w:rPr>
          <w:szCs w:val="22"/>
        </w:rPr>
        <w:t xml:space="preserve">The BD-rate results are enumerated in </w:t>
      </w:r>
      <w:r w:rsidR="009B1443">
        <w:rPr>
          <w:szCs w:val="22"/>
        </w:rPr>
        <w:fldChar w:fldCharType="begin"/>
      </w:r>
      <w:r>
        <w:rPr>
          <w:szCs w:val="22"/>
        </w:rPr>
        <w:instrText xml:space="preserve"> REF _Ref297299296 \h </w:instrText>
      </w:r>
      <w:r w:rsidR="009B1443">
        <w:rPr>
          <w:szCs w:val="22"/>
        </w:rPr>
      </w:r>
      <w:r w:rsidR="009B1443">
        <w:rPr>
          <w:szCs w:val="22"/>
        </w:rPr>
        <w:fldChar w:fldCharType="separate"/>
      </w:r>
      <w:r w:rsidR="00E671BB">
        <w:t xml:space="preserve">Table </w:t>
      </w:r>
      <w:r w:rsidR="00E671BB">
        <w:rPr>
          <w:noProof/>
        </w:rPr>
        <w:t>1</w:t>
      </w:r>
      <w:r w:rsidR="009B1443">
        <w:rPr>
          <w:szCs w:val="22"/>
        </w:rPr>
        <w:fldChar w:fldCharType="end"/>
      </w:r>
      <w:r>
        <w:rPr>
          <w:szCs w:val="22"/>
        </w:rPr>
        <w:t xml:space="preserve"> for case 1 and in </w:t>
      </w:r>
      <w:r w:rsidR="009B1443">
        <w:rPr>
          <w:szCs w:val="22"/>
        </w:rPr>
        <w:fldChar w:fldCharType="begin"/>
      </w:r>
      <w:r>
        <w:rPr>
          <w:szCs w:val="22"/>
        </w:rPr>
        <w:instrText xml:space="preserve"> REF _Ref297299310 \h </w:instrText>
      </w:r>
      <w:r w:rsidR="009B1443">
        <w:rPr>
          <w:szCs w:val="22"/>
        </w:rPr>
      </w:r>
      <w:r w:rsidR="009B1443">
        <w:rPr>
          <w:szCs w:val="22"/>
        </w:rPr>
        <w:fldChar w:fldCharType="separate"/>
      </w:r>
      <w:r w:rsidR="00E671BB">
        <w:t xml:space="preserve">Table </w:t>
      </w:r>
      <w:r w:rsidR="00E671BB">
        <w:rPr>
          <w:noProof/>
        </w:rPr>
        <w:t>2</w:t>
      </w:r>
      <w:r w:rsidR="009B1443">
        <w:rPr>
          <w:szCs w:val="22"/>
        </w:rPr>
        <w:fldChar w:fldCharType="end"/>
      </w:r>
      <w:r>
        <w:rPr>
          <w:szCs w:val="22"/>
        </w:rPr>
        <w:t xml:space="preserve"> for case 2. These results match the BD-rate results</w:t>
      </w:r>
      <w:r w:rsidR="004246BC">
        <w:rPr>
          <w:szCs w:val="22"/>
        </w:rPr>
        <w:t xml:space="preserve"> in JCTVC-F532</w:t>
      </w:r>
      <w:r>
        <w:rPr>
          <w:szCs w:val="22"/>
        </w:rPr>
        <w:t>.</w:t>
      </w:r>
      <w:r w:rsidR="0076129B">
        <w:rPr>
          <w:szCs w:val="22"/>
        </w:rPr>
        <w:t xml:space="preserve"> The encoding time differences are within the </w:t>
      </w:r>
      <w:r w:rsidR="00282856">
        <w:rPr>
          <w:szCs w:val="22"/>
        </w:rPr>
        <w:t xml:space="preserve">execution time </w:t>
      </w:r>
      <w:r w:rsidR="0076129B">
        <w:rPr>
          <w:szCs w:val="22"/>
        </w:rPr>
        <w:t>variability of the computing cluster. The decoding times are measured on a single CPU and are similar.</w:t>
      </w:r>
    </w:p>
    <w:p w:rsidR="00C40ADC" w:rsidRDefault="00C40ADC" w:rsidP="009234A5">
      <w:pPr>
        <w:jc w:val="both"/>
        <w:rPr>
          <w:szCs w:val="22"/>
        </w:rPr>
      </w:pPr>
    </w:p>
    <w:p w:rsidR="00E979D9" w:rsidRDefault="00E979D9" w:rsidP="00E979D9">
      <w:pPr>
        <w:pStyle w:val="Caption"/>
        <w:keepNext/>
      </w:pPr>
      <w:bookmarkStart w:id="0" w:name="_Ref297299296"/>
      <w:r>
        <w:t xml:space="preserve">Table </w:t>
      </w:r>
      <w:fldSimple w:instr=" SEQ Table \* ARABIC ">
        <w:r w:rsidR="00E671BB">
          <w:rPr>
            <w:noProof/>
          </w:rPr>
          <w:t>1</w:t>
        </w:r>
      </w:fldSimple>
      <w:bookmarkEnd w:id="0"/>
      <w:r>
        <w:t xml:space="preserve"> CE6.b Test 5 results for case 1</w:t>
      </w:r>
    </w:p>
    <w:tbl>
      <w:tblPr>
        <w:tblW w:w="7400" w:type="dxa"/>
        <w:tblInd w:w="98" w:type="dxa"/>
        <w:tblLook w:val="04A0"/>
      </w:tblPr>
      <w:tblGrid>
        <w:gridCol w:w="1400"/>
        <w:gridCol w:w="1138"/>
        <w:gridCol w:w="931"/>
        <w:gridCol w:w="931"/>
        <w:gridCol w:w="1000"/>
        <w:gridCol w:w="1000"/>
        <w:gridCol w:w="1000"/>
      </w:tblGrid>
      <w:tr w:rsidR="0076129B" w:rsidRPr="0076129B" w:rsidTr="0076129B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76129B" w:rsidRPr="0076129B" w:rsidTr="0076129B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V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-0.2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</w:tr>
      <w:tr w:rsidR="0076129B" w:rsidRPr="0076129B" w:rsidTr="0076129B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95%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96%</w:t>
            </w:r>
          </w:p>
        </w:tc>
      </w:tr>
      <w:tr w:rsidR="0076129B" w:rsidRPr="0076129B" w:rsidTr="0076129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99%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98%</w:t>
            </w:r>
          </w:p>
        </w:tc>
      </w:tr>
    </w:tbl>
    <w:p w:rsidR="00C40ADC" w:rsidRDefault="00C40ADC" w:rsidP="009234A5">
      <w:pPr>
        <w:jc w:val="both"/>
        <w:rPr>
          <w:szCs w:val="22"/>
        </w:rPr>
      </w:pPr>
    </w:p>
    <w:p w:rsidR="00C40ADC" w:rsidRDefault="00C40ADC" w:rsidP="009234A5">
      <w:pPr>
        <w:jc w:val="both"/>
        <w:rPr>
          <w:szCs w:val="22"/>
        </w:rPr>
      </w:pPr>
    </w:p>
    <w:p w:rsidR="00C40ADC" w:rsidRDefault="00C40ADC" w:rsidP="009234A5">
      <w:pPr>
        <w:jc w:val="both"/>
        <w:rPr>
          <w:szCs w:val="22"/>
        </w:rPr>
      </w:pPr>
    </w:p>
    <w:p w:rsidR="00E979D9" w:rsidRDefault="00E979D9" w:rsidP="00E979D9">
      <w:pPr>
        <w:pStyle w:val="Caption"/>
        <w:keepNext/>
      </w:pPr>
      <w:bookmarkStart w:id="1" w:name="_Ref297299310"/>
      <w:r>
        <w:lastRenderedPageBreak/>
        <w:t xml:space="preserve">Table </w:t>
      </w:r>
      <w:fldSimple w:instr=" SEQ Table \* ARABIC ">
        <w:r w:rsidR="00E671BB">
          <w:rPr>
            <w:noProof/>
          </w:rPr>
          <w:t>2</w:t>
        </w:r>
      </w:fldSimple>
      <w:bookmarkEnd w:id="1"/>
      <w:r>
        <w:t xml:space="preserve"> CE6.b Test 5 results for case 2</w:t>
      </w:r>
    </w:p>
    <w:tbl>
      <w:tblPr>
        <w:tblW w:w="7400" w:type="dxa"/>
        <w:tblInd w:w="98" w:type="dxa"/>
        <w:tblLook w:val="04A0"/>
      </w:tblPr>
      <w:tblGrid>
        <w:gridCol w:w="1400"/>
        <w:gridCol w:w="1000"/>
        <w:gridCol w:w="1000"/>
        <w:gridCol w:w="1000"/>
        <w:gridCol w:w="1138"/>
        <w:gridCol w:w="931"/>
        <w:gridCol w:w="931"/>
      </w:tblGrid>
      <w:tr w:rsidR="0076129B" w:rsidRPr="0076129B" w:rsidTr="0076129B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76129B" w:rsidRPr="0076129B" w:rsidTr="0076129B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V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0.5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 xml:space="preserve">0.4 </w:t>
            </w:r>
          </w:p>
        </w:tc>
      </w:tr>
      <w:tr w:rsidR="0076129B" w:rsidRPr="0076129B" w:rsidTr="0076129B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0.3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76129B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</w:tr>
      <w:tr w:rsidR="0076129B" w:rsidRPr="0076129B" w:rsidTr="0076129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100%</w:t>
            </w:r>
          </w:p>
        </w:tc>
      </w:tr>
      <w:tr w:rsidR="0076129B" w:rsidRPr="0076129B" w:rsidTr="0076129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99%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129B" w:rsidRPr="0076129B" w:rsidRDefault="0076129B" w:rsidP="0076129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76129B">
              <w:rPr>
                <w:rFonts w:ascii="Arial" w:hAnsi="Arial" w:cs="Arial"/>
                <w:sz w:val="20"/>
              </w:rPr>
              <w:t>97%</w:t>
            </w:r>
          </w:p>
        </w:tc>
      </w:tr>
    </w:tbl>
    <w:p w:rsidR="0076129B" w:rsidRPr="0076129B" w:rsidRDefault="0076129B" w:rsidP="0076129B"/>
    <w:p w:rsidR="001F2594" w:rsidRDefault="00C40ADC" w:rsidP="000F3C04">
      <w:pPr>
        <w:pStyle w:val="Heading1"/>
      </w:pPr>
      <w:r>
        <w:t>Cross Check</w:t>
      </w:r>
      <w:r w:rsidR="000F3C04">
        <w:t xml:space="preserve"> Results for CE6.b Test 7 on Deblocking</w:t>
      </w:r>
    </w:p>
    <w:p w:rsidR="000F3C04" w:rsidRDefault="00E979D9" w:rsidP="000F3C04">
      <w:r>
        <w:t xml:space="preserve">The following two cases from Test 7 </w:t>
      </w:r>
      <w:r w:rsidR="00C70843">
        <w:t>[</w:t>
      </w:r>
      <w:r w:rsidR="009B1443">
        <w:fldChar w:fldCharType="begin"/>
      </w:r>
      <w:r w:rsidR="00C70843">
        <w:instrText xml:space="preserve"> REF _Ref297300090 \r \h </w:instrText>
      </w:r>
      <w:r w:rsidR="009B1443">
        <w:fldChar w:fldCharType="separate"/>
      </w:r>
      <w:r w:rsidR="00E671BB">
        <w:t>1</w:t>
      </w:r>
      <w:r w:rsidR="009B1443">
        <w:fldChar w:fldCharType="end"/>
      </w:r>
      <w:r w:rsidR="00C70843">
        <w:t xml:space="preserve">] </w:t>
      </w:r>
      <w:r>
        <w:t>are cross checked:</w:t>
      </w:r>
    </w:p>
    <w:p w:rsidR="00E979D9" w:rsidRDefault="00E979D9" w:rsidP="00E979D9">
      <w:pPr>
        <w:numPr>
          <w:ilvl w:val="0"/>
          <w:numId w:val="13"/>
        </w:numPr>
      </w:pPr>
      <w:r>
        <w:t xml:space="preserve">HM3 anchor </w:t>
      </w:r>
      <w:r w:rsidR="00CE4BCE">
        <w:rPr>
          <w:szCs w:val="22"/>
        </w:rPr>
        <w:t xml:space="preserve">(rev823) </w:t>
      </w:r>
      <w:r w:rsidR="00CE4BCE">
        <w:t>versus HM3 with deblocking filter disabled (LoopFilterDisable : 1)</w:t>
      </w:r>
    </w:p>
    <w:p w:rsidR="00CE4BCE" w:rsidRDefault="00CE4BCE" w:rsidP="00E979D9">
      <w:pPr>
        <w:numPr>
          <w:ilvl w:val="0"/>
          <w:numId w:val="13"/>
        </w:numPr>
      </w:pPr>
      <w:r>
        <w:t xml:space="preserve">HM3-SDIP </w:t>
      </w:r>
      <w:r>
        <w:rPr>
          <w:szCs w:val="22"/>
        </w:rPr>
        <w:t xml:space="preserve">(rev866) </w:t>
      </w:r>
      <w:r>
        <w:t xml:space="preserve">versus HM3-SDIP with </w:t>
      </w:r>
      <w:r w:rsidR="00C40ADC">
        <w:t xml:space="preserve">HM3 </w:t>
      </w:r>
      <w:r>
        <w:t>deblocking disabled (LoopFilterDisable : 1)</w:t>
      </w:r>
    </w:p>
    <w:p w:rsidR="000F3C04" w:rsidRDefault="009B1443" w:rsidP="000F3C04">
      <w:r>
        <w:fldChar w:fldCharType="begin"/>
      </w:r>
      <w:r w:rsidR="00E6436E">
        <w:instrText xml:space="preserve"> REF _Ref297300160 \h </w:instrText>
      </w:r>
      <w:r>
        <w:fldChar w:fldCharType="separate"/>
      </w:r>
      <w:r w:rsidR="00E671BB">
        <w:t xml:space="preserve">Table </w:t>
      </w:r>
      <w:r w:rsidR="00E671BB">
        <w:rPr>
          <w:noProof/>
        </w:rPr>
        <w:t>3</w:t>
      </w:r>
      <w:r>
        <w:fldChar w:fldCharType="end"/>
      </w:r>
      <w:r w:rsidR="00E6436E">
        <w:t xml:space="preserve"> enumerates the BD-rate results for case 1 and </w:t>
      </w:r>
      <w:r>
        <w:fldChar w:fldCharType="begin"/>
      </w:r>
      <w:r w:rsidR="00E6436E">
        <w:instrText xml:space="preserve"> REF _Ref297300193 \h </w:instrText>
      </w:r>
      <w:r>
        <w:fldChar w:fldCharType="separate"/>
      </w:r>
      <w:r w:rsidR="00E671BB">
        <w:t xml:space="preserve">Table </w:t>
      </w:r>
      <w:r w:rsidR="00E671BB">
        <w:rPr>
          <w:noProof/>
        </w:rPr>
        <w:t>4</w:t>
      </w:r>
      <w:r>
        <w:fldChar w:fldCharType="end"/>
      </w:r>
      <w:r w:rsidR="00E6436E">
        <w:t xml:space="preserve"> for case 2. Both cases match the </w:t>
      </w:r>
      <w:r w:rsidR="004246BC">
        <w:t>r</w:t>
      </w:r>
      <w:r w:rsidR="00E6436E">
        <w:t>esults</w:t>
      </w:r>
      <w:r w:rsidR="004246BC">
        <w:t xml:space="preserve"> </w:t>
      </w:r>
      <w:r w:rsidR="004246BC">
        <w:rPr>
          <w:szCs w:val="22"/>
        </w:rPr>
        <w:t>in JCTVC-F532</w:t>
      </w:r>
      <w:r w:rsidR="00E6436E">
        <w:t>.</w:t>
      </w:r>
      <w:r w:rsidR="00E671BB">
        <w:t xml:space="preserve"> The encoding and decoding times are similar.</w:t>
      </w:r>
    </w:p>
    <w:p w:rsidR="00E671BB" w:rsidRDefault="00E671BB" w:rsidP="000F3C04"/>
    <w:p w:rsidR="00CE4BCE" w:rsidRDefault="00CE4BCE" w:rsidP="00CE4BCE">
      <w:pPr>
        <w:pStyle w:val="Caption"/>
        <w:keepNext/>
      </w:pPr>
      <w:bookmarkStart w:id="2" w:name="_Ref297300160"/>
      <w:r>
        <w:t xml:space="preserve">Table </w:t>
      </w:r>
      <w:fldSimple w:instr=" SEQ Table \* ARABIC ">
        <w:r w:rsidR="00E671BB">
          <w:rPr>
            <w:noProof/>
          </w:rPr>
          <w:t>3</w:t>
        </w:r>
      </w:fldSimple>
      <w:bookmarkEnd w:id="2"/>
      <w:r>
        <w:t xml:space="preserve"> CE6.b Test 7 results for case 1</w:t>
      </w:r>
    </w:p>
    <w:tbl>
      <w:tblPr>
        <w:tblW w:w="7400" w:type="dxa"/>
        <w:tblInd w:w="98" w:type="dxa"/>
        <w:tblLook w:val="04A0"/>
      </w:tblPr>
      <w:tblGrid>
        <w:gridCol w:w="1400"/>
        <w:gridCol w:w="1138"/>
        <w:gridCol w:w="931"/>
        <w:gridCol w:w="931"/>
        <w:gridCol w:w="1138"/>
        <w:gridCol w:w="931"/>
        <w:gridCol w:w="931"/>
      </w:tblGrid>
      <w:tr w:rsidR="00E671BB" w:rsidRPr="00E671BB" w:rsidTr="00E671BB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E671BB" w:rsidRPr="00E671BB" w:rsidTr="00E671BB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V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2.2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2.4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3.5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4.5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2.9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3.6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3.1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3.8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1.3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1.4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7.1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7.5 </w:t>
            </w:r>
          </w:p>
        </w:tc>
      </w:tr>
      <w:tr w:rsidR="00E671BB" w:rsidRPr="00E671BB" w:rsidTr="00E671BB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-1.1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0.6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0.6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3.6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4.2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104%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98%</w:t>
            </w:r>
          </w:p>
        </w:tc>
      </w:tr>
      <w:tr w:rsidR="00E671BB" w:rsidRPr="00E671BB" w:rsidTr="00E671B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95%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86%</w:t>
            </w:r>
          </w:p>
        </w:tc>
      </w:tr>
    </w:tbl>
    <w:p w:rsidR="000F3C04" w:rsidRDefault="000F3C04" w:rsidP="000F3C04"/>
    <w:p w:rsidR="00CE4BCE" w:rsidRDefault="00CE4BCE" w:rsidP="00CE4BCE">
      <w:pPr>
        <w:pStyle w:val="Caption"/>
        <w:keepNext/>
      </w:pPr>
      <w:bookmarkStart w:id="3" w:name="_Ref297300193"/>
      <w:r>
        <w:t xml:space="preserve">Table </w:t>
      </w:r>
      <w:fldSimple w:instr=" SEQ Table \* ARABIC ">
        <w:r w:rsidR="00E671BB">
          <w:rPr>
            <w:noProof/>
          </w:rPr>
          <w:t>4</w:t>
        </w:r>
      </w:fldSimple>
      <w:bookmarkEnd w:id="3"/>
      <w:r>
        <w:t xml:space="preserve"> CE6.b Test 7 results for case 2</w:t>
      </w:r>
    </w:p>
    <w:tbl>
      <w:tblPr>
        <w:tblW w:w="7400" w:type="dxa"/>
        <w:tblInd w:w="98" w:type="dxa"/>
        <w:tblLook w:val="04A0"/>
      </w:tblPr>
      <w:tblGrid>
        <w:gridCol w:w="1400"/>
        <w:gridCol w:w="1138"/>
        <w:gridCol w:w="931"/>
        <w:gridCol w:w="931"/>
        <w:gridCol w:w="1000"/>
        <w:gridCol w:w="1000"/>
        <w:gridCol w:w="1000"/>
      </w:tblGrid>
      <w:tr w:rsidR="00E671BB" w:rsidRPr="00E671BB" w:rsidTr="00E671BB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E671BB" w:rsidRPr="00E671BB" w:rsidTr="00E671BB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V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2.3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2.5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4.5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3.7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3.9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1.4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1.5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7.1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 xml:space="preserve">7.5 </w:t>
            </w:r>
          </w:p>
        </w:tc>
      </w:tr>
      <w:tr w:rsidR="00E671BB" w:rsidRPr="00E671BB" w:rsidTr="00E671BB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-1.1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0.5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0.7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3.6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E671BB">
              <w:rPr>
                <w:rFonts w:ascii="Arial" w:hAnsi="Arial" w:cs="Arial"/>
                <w:b/>
                <w:bCs/>
                <w:sz w:val="20"/>
              </w:rPr>
              <w:t xml:space="preserve">4.3 </w:t>
            </w:r>
          </w:p>
        </w:tc>
      </w:tr>
      <w:tr w:rsidR="00E671BB" w:rsidRPr="00E671BB" w:rsidTr="00E671BB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104%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100%</w:t>
            </w:r>
          </w:p>
        </w:tc>
      </w:tr>
      <w:tr w:rsidR="00E671BB" w:rsidRPr="00E671BB" w:rsidTr="00E671BB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95%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71BB" w:rsidRPr="00E671BB" w:rsidRDefault="00E671BB" w:rsidP="00E671B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671BB">
              <w:rPr>
                <w:rFonts w:ascii="Arial" w:hAnsi="Arial" w:cs="Arial"/>
                <w:sz w:val="20"/>
              </w:rPr>
              <w:t>88%</w:t>
            </w:r>
          </w:p>
        </w:tc>
      </w:tr>
    </w:tbl>
    <w:p w:rsidR="00E671BB" w:rsidRPr="00E671BB" w:rsidRDefault="00E671BB" w:rsidP="00E671BB"/>
    <w:p w:rsidR="00E6436E" w:rsidRDefault="00E6436E" w:rsidP="00C70843">
      <w:pPr>
        <w:pStyle w:val="Heading1"/>
      </w:pPr>
      <w:r>
        <w:lastRenderedPageBreak/>
        <w:t>Conclusion</w:t>
      </w:r>
    </w:p>
    <w:p w:rsidR="00E6436E" w:rsidRPr="00E6436E" w:rsidRDefault="00E6436E" w:rsidP="00E6436E">
      <w:r>
        <w:t xml:space="preserve">The BD-rate results </w:t>
      </w:r>
      <w:r w:rsidR="00C40ADC">
        <w:t xml:space="preserve">from this cross check </w:t>
      </w:r>
      <w:r w:rsidR="000F01DA">
        <w:t>of</w:t>
      </w:r>
      <w:r>
        <w:t xml:space="preserve"> CE6.b Test 5 (cases 1, 2) and 7 (cases 1, 2) match the results</w:t>
      </w:r>
      <w:r w:rsidR="00282856">
        <w:t xml:space="preserve"> in JCTVC-F532</w:t>
      </w:r>
      <w:r>
        <w:t>.</w:t>
      </w:r>
      <w:r w:rsidR="00E671BB">
        <w:t xml:space="preserve"> The encoding and decoding times are similar.</w:t>
      </w:r>
    </w:p>
    <w:p w:rsidR="000F3C04" w:rsidRDefault="00C70843" w:rsidP="00C70843">
      <w:pPr>
        <w:pStyle w:val="Heading1"/>
      </w:pPr>
      <w:r>
        <w:t>References</w:t>
      </w:r>
    </w:p>
    <w:p w:rsidR="00E6436E" w:rsidRPr="00C70843" w:rsidRDefault="00C70843" w:rsidP="00E6436E">
      <w:pPr>
        <w:numPr>
          <w:ilvl w:val="0"/>
          <w:numId w:val="15"/>
        </w:numPr>
      </w:pPr>
      <w:bookmarkStart w:id="4" w:name="_Ref297300090"/>
      <w:r>
        <w:t>A. Tabatabai, M. Budagavi, K. Chono, J. Rajan, A. Segall, H. Yu, “Core Experiment 6: Intra Prediction Improvement,” 5</w:t>
      </w:r>
      <w:r w:rsidRPr="00C70843">
        <w:rPr>
          <w:vertAlign w:val="superscript"/>
        </w:rPr>
        <w:t>th</w:t>
      </w:r>
      <w:r>
        <w:t xml:space="preserve"> JCT-VC Meeting, Geneva, CH, March 2011, Doc. JCTVC-E706r2</w:t>
      </w:r>
      <w:bookmarkEnd w:id="4"/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7641D0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58E" w:rsidRDefault="00A8758E">
      <w:r>
        <w:separator/>
      </w:r>
    </w:p>
  </w:endnote>
  <w:endnote w:type="continuationSeparator" w:id="0">
    <w:p w:rsidR="00A8758E" w:rsidRDefault="00A87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B14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B1443">
      <w:rPr>
        <w:rStyle w:val="PageNumber"/>
      </w:rPr>
      <w:fldChar w:fldCharType="separate"/>
    </w:r>
    <w:r w:rsidR="004246BC">
      <w:rPr>
        <w:rStyle w:val="PageNumber"/>
        <w:noProof/>
      </w:rPr>
      <w:t>3</w:t>
    </w:r>
    <w:r w:rsidR="009B144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B144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B1443">
      <w:rPr>
        <w:rStyle w:val="PageNumber"/>
      </w:rPr>
      <w:fldChar w:fldCharType="separate"/>
    </w:r>
    <w:r w:rsidR="004246BC">
      <w:rPr>
        <w:rStyle w:val="PageNumber"/>
        <w:noProof/>
      </w:rPr>
      <w:t>2011-07-05</w:t>
    </w:r>
    <w:r w:rsidR="009B144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58E" w:rsidRDefault="00A8758E">
      <w:r>
        <w:separator/>
      </w:r>
    </w:p>
  </w:footnote>
  <w:footnote w:type="continuationSeparator" w:id="0">
    <w:p w:rsidR="00A8758E" w:rsidRDefault="00A875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7E2F"/>
    <w:multiLevelType w:val="hybridMultilevel"/>
    <w:tmpl w:val="7B025F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7C55E15"/>
    <w:multiLevelType w:val="hybridMultilevel"/>
    <w:tmpl w:val="0BA05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24C27"/>
    <w:multiLevelType w:val="hybridMultilevel"/>
    <w:tmpl w:val="63A2D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A724A5"/>
    <w:multiLevelType w:val="hybridMultilevel"/>
    <w:tmpl w:val="33B89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2614145"/>
    <w:multiLevelType w:val="hybridMultilevel"/>
    <w:tmpl w:val="B6D21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8BC"/>
    <w:rsid w:val="00045C41"/>
    <w:rsid w:val="00046C03"/>
    <w:rsid w:val="0007614F"/>
    <w:rsid w:val="000B1C6B"/>
    <w:rsid w:val="000C09AC"/>
    <w:rsid w:val="000E00F3"/>
    <w:rsid w:val="000F01DA"/>
    <w:rsid w:val="000F158C"/>
    <w:rsid w:val="000F3C04"/>
    <w:rsid w:val="00124E38"/>
    <w:rsid w:val="0012580B"/>
    <w:rsid w:val="0013526E"/>
    <w:rsid w:val="00160658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0F9A"/>
    <w:rsid w:val="001E3B37"/>
    <w:rsid w:val="001F2594"/>
    <w:rsid w:val="00206460"/>
    <w:rsid w:val="002069B4"/>
    <w:rsid w:val="00215DFC"/>
    <w:rsid w:val="002212DF"/>
    <w:rsid w:val="00227BA7"/>
    <w:rsid w:val="00274553"/>
    <w:rsid w:val="00275BCF"/>
    <w:rsid w:val="00282856"/>
    <w:rsid w:val="00292257"/>
    <w:rsid w:val="002A54E0"/>
    <w:rsid w:val="002B1595"/>
    <w:rsid w:val="002B191D"/>
    <w:rsid w:val="002B1F33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A2D8E"/>
    <w:rsid w:val="003C174C"/>
    <w:rsid w:val="003C20E4"/>
    <w:rsid w:val="003D18D7"/>
    <w:rsid w:val="003E049A"/>
    <w:rsid w:val="003E6F90"/>
    <w:rsid w:val="003F5D0F"/>
    <w:rsid w:val="00414101"/>
    <w:rsid w:val="004246BC"/>
    <w:rsid w:val="00433DDB"/>
    <w:rsid w:val="00437619"/>
    <w:rsid w:val="004B210C"/>
    <w:rsid w:val="004D405F"/>
    <w:rsid w:val="004F0C2F"/>
    <w:rsid w:val="004F61E3"/>
    <w:rsid w:val="00500A2E"/>
    <w:rsid w:val="0051015C"/>
    <w:rsid w:val="00531AE9"/>
    <w:rsid w:val="00567EC7"/>
    <w:rsid w:val="00570013"/>
    <w:rsid w:val="00577CC9"/>
    <w:rsid w:val="005A33A1"/>
    <w:rsid w:val="005C385F"/>
    <w:rsid w:val="005F6F1B"/>
    <w:rsid w:val="00624B33"/>
    <w:rsid w:val="00630AA2"/>
    <w:rsid w:val="00646707"/>
    <w:rsid w:val="00664DCF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6129B"/>
    <w:rsid w:val="007641D0"/>
    <w:rsid w:val="00772782"/>
    <w:rsid w:val="007768FF"/>
    <w:rsid w:val="007824D3"/>
    <w:rsid w:val="007956FF"/>
    <w:rsid w:val="00796EE3"/>
    <w:rsid w:val="007A74FA"/>
    <w:rsid w:val="007A7D29"/>
    <w:rsid w:val="007F1F8B"/>
    <w:rsid w:val="008206C8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B1443"/>
    <w:rsid w:val="009C6D2D"/>
    <w:rsid w:val="009F496B"/>
    <w:rsid w:val="00A01439"/>
    <w:rsid w:val="00A02E61"/>
    <w:rsid w:val="00A05CFF"/>
    <w:rsid w:val="00A2552F"/>
    <w:rsid w:val="00A56B97"/>
    <w:rsid w:val="00A6093D"/>
    <w:rsid w:val="00A76A6D"/>
    <w:rsid w:val="00A82574"/>
    <w:rsid w:val="00A83253"/>
    <w:rsid w:val="00A8758E"/>
    <w:rsid w:val="00AA6E84"/>
    <w:rsid w:val="00AE341B"/>
    <w:rsid w:val="00AF7444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142D0"/>
    <w:rsid w:val="00C30249"/>
    <w:rsid w:val="00C40ADC"/>
    <w:rsid w:val="00C606C9"/>
    <w:rsid w:val="00C70843"/>
    <w:rsid w:val="00C90650"/>
    <w:rsid w:val="00C97D78"/>
    <w:rsid w:val="00CB165E"/>
    <w:rsid w:val="00CC5A42"/>
    <w:rsid w:val="00CD0EAB"/>
    <w:rsid w:val="00CE4BCE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6436E"/>
    <w:rsid w:val="00E671BB"/>
    <w:rsid w:val="00E75529"/>
    <w:rsid w:val="00E75FE3"/>
    <w:rsid w:val="00E979D9"/>
    <w:rsid w:val="00EB6B8E"/>
    <w:rsid w:val="00EB7AB1"/>
    <w:rsid w:val="00EC5159"/>
    <w:rsid w:val="00EF48CC"/>
    <w:rsid w:val="00F73032"/>
    <w:rsid w:val="00F848FC"/>
    <w:rsid w:val="00F9282A"/>
    <w:rsid w:val="00F96606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0C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0C2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0C2F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979D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3707C-179E-4072-88F0-60E35B2D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26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3868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5</cp:revision>
  <cp:lastPrinted>2011-06-29T17:03:00Z</cp:lastPrinted>
  <dcterms:created xsi:type="dcterms:W3CDTF">2011-07-05T20:03:00Z</dcterms:created>
  <dcterms:modified xsi:type="dcterms:W3CDTF">2011-07-08T16:45:00Z</dcterms:modified>
</cp:coreProperties>
</file>