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586E8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6004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6004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CC2AAE" w:rsidP="00CC2AAE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6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Torino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IT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 w:rsidR="00C04F43">
              <w:rPr>
                <w:szCs w:val="22"/>
              </w:rPr>
              <w:t>1</w:t>
            </w:r>
            <w:r>
              <w:rPr>
                <w:szCs w:val="22"/>
              </w:rPr>
              <w:t>4</w:t>
            </w:r>
            <w:r w:rsidR="00171371" w:rsidRPr="00AE341B">
              <w:rPr>
                <w:szCs w:val="22"/>
              </w:rPr>
              <w:t>-</w:t>
            </w:r>
            <w:r w:rsidR="00C04F43">
              <w:rPr>
                <w:szCs w:val="22"/>
              </w:rPr>
              <w:t>2</w:t>
            </w:r>
            <w:r>
              <w:rPr>
                <w:szCs w:val="22"/>
              </w:rPr>
              <w:t>2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July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Default="00E61DAC" w:rsidP="00CC2AAE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CC2AAE">
              <w:t>F</w:t>
            </w:r>
            <w:r w:rsidR="00A829F9" w:rsidRPr="00E64A72">
              <w:t>289</w:t>
            </w:r>
          </w:p>
          <w:p w:rsidR="009D7E69" w:rsidRPr="00630AA2" w:rsidRDefault="009D7E69" w:rsidP="00A829F9">
            <w:pPr>
              <w:tabs>
                <w:tab w:val="left" w:pos="7200"/>
              </w:tabs>
              <w:rPr>
                <w:u w:val="single"/>
              </w:rPr>
            </w:pPr>
            <w:r>
              <w:t>WG11 Number</w:t>
            </w:r>
            <w:r w:rsidRPr="00AE341B">
              <w:t xml:space="preserve">: </w:t>
            </w:r>
            <w:r>
              <w:t>m</w:t>
            </w:r>
            <w:r w:rsidR="00CA5E21">
              <w:t>20</w:t>
            </w:r>
            <w:r w:rsidR="00A829F9">
              <w:t>709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9D7E69" w:rsidP="00FC404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On </w:t>
            </w:r>
            <w:r w:rsidR="000F54EE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VUI syntax parameters</w:t>
            </w:r>
            <w:r w:rsidR="0062477C">
              <w:rPr>
                <w:b/>
                <w:szCs w:val="22"/>
              </w:rPr>
              <w:t xml:space="preserve"> 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E61DAC" w:rsidP="009D7E69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 w:rsidR="00AE341B"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51210D" w:rsidP="009D7E69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C62646" w:rsidRPr="00AE341B">
        <w:tc>
          <w:tcPr>
            <w:tcW w:w="1458" w:type="dxa"/>
          </w:tcPr>
          <w:p w:rsidR="00C62646" w:rsidRPr="00AE341B" w:rsidRDefault="00C62646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C62646" w:rsidRDefault="00C62646" w:rsidP="00D75B43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ja-JP"/>
              </w:rPr>
              <w:t>Munsi Haque, Ali Tabatabai</w:t>
            </w:r>
            <w:r w:rsidRPr="009028C1">
              <w:rPr>
                <w:szCs w:val="22"/>
              </w:rPr>
              <w:br/>
            </w:r>
            <w:smartTag w:uri="urn:schemas-microsoft-com:office:smarttags" w:element="Street">
              <w:r>
                <w:rPr>
                  <w:szCs w:val="22"/>
                </w:rPr>
                <w:t>1730 N 1st Street</w:t>
              </w:r>
            </w:smartTag>
            <w:r w:rsidRPr="00AE341B">
              <w:rPr>
                <w:szCs w:val="22"/>
              </w:rPr>
              <w:br/>
            </w:r>
            <w:smartTag w:uri="urn:schemas-microsoft-com:office:smarttags" w:element="City">
              <w:r>
                <w:rPr>
                  <w:szCs w:val="22"/>
                </w:rPr>
                <w:t>San Jose</w:t>
              </w:r>
            </w:smartTag>
            <w:r>
              <w:rPr>
                <w:szCs w:val="22"/>
              </w:rPr>
              <w:t xml:space="preserve">, </w:t>
            </w:r>
            <w:smartTag w:uri="urn:schemas-microsoft-com:office:smarttags" w:element="State">
              <w:r>
                <w:rPr>
                  <w:szCs w:val="22"/>
                </w:rPr>
                <w:t>CA</w:t>
              </w:r>
            </w:smartTag>
            <w:r>
              <w:rPr>
                <w:szCs w:val="22"/>
              </w:rPr>
              <w:t xml:space="preserve"> 95112</w:t>
            </w:r>
          </w:p>
          <w:p w:rsidR="00DB3335" w:rsidRDefault="00DB3335" w:rsidP="00C62646">
            <w:pPr>
              <w:spacing w:before="60" w:after="60"/>
              <w:rPr>
                <w:szCs w:val="22"/>
                <w:lang w:eastAsia="ja-JP"/>
              </w:rPr>
            </w:pPr>
          </w:p>
          <w:p w:rsidR="00C62646" w:rsidRPr="00C62646" w:rsidRDefault="00C62646" w:rsidP="00C62646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>Teruhiko Suzuki</w:t>
            </w:r>
            <w:r w:rsidRPr="00AE341B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ja-JP"/>
              </w:rPr>
              <w:t xml:space="preserve">1-11-1 Osaki, Shinagawa-ku, </w:t>
            </w:r>
            <w:smartTag w:uri="urn:schemas-microsoft-com:office:smarttags" w:element="City">
              <w:r>
                <w:rPr>
                  <w:rFonts w:hint="eastAsia"/>
                  <w:szCs w:val="22"/>
                  <w:lang w:eastAsia="ja-JP"/>
                </w:rPr>
                <w:t>Tokyo</w:t>
              </w:r>
            </w:smartTag>
            <w:r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ja-JP"/>
              </w:rPr>
              <w:t xml:space="preserve">141-0032,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hint="eastAsia"/>
                    <w:szCs w:val="22"/>
                    <w:lang w:eastAsia="ja-JP"/>
                  </w:rPr>
                  <w:t>JAPAN</w:t>
                </w:r>
              </w:smartTag>
            </w:smartTag>
          </w:p>
        </w:tc>
        <w:tc>
          <w:tcPr>
            <w:tcW w:w="900" w:type="dxa"/>
          </w:tcPr>
          <w:p w:rsidR="00C62646" w:rsidRPr="009028C1" w:rsidRDefault="00C62646" w:rsidP="00D75B43">
            <w:pPr>
              <w:spacing w:before="60" w:after="60"/>
              <w:rPr>
                <w:szCs w:val="22"/>
              </w:rPr>
            </w:pPr>
            <w:r w:rsidRPr="009028C1">
              <w:rPr>
                <w:szCs w:val="22"/>
              </w:rPr>
              <w:t>Tel:</w:t>
            </w:r>
            <w:r w:rsidRPr="009028C1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C62646" w:rsidRDefault="00C62646" w:rsidP="001A1229">
            <w:pPr>
              <w:spacing w:before="0" w:after="60"/>
              <w:rPr>
                <w:szCs w:val="22"/>
                <w:lang w:val="da-DK" w:eastAsia="ja-JP"/>
              </w:rPr>
            </w:pPr>
            <w:r>
              <w:rPr>
                <w:rFonts w:hint="eastAsia"/>
                <w:szCs w:val="22"/>
                <w:lang w:val="da-DK" w:eastAsia="ja-JP"/>
              </w:rPr>
              <w:t>+1-</w:t>
            </w:r>
            <w:r>
              <w:rPr>
                <w:szCs w:val="22"/>
                <w:lang w:val="da-DK"/>
              </w:rPr>
              <w:t>408</w:t>
            </w:r>
            <w:r>
              <w:rPr>
                <w:rFonts w:hint="eastAsia"/>
                <w:szCs w:val="22"/>
                <w:lang w:val="da-DK" w:eastAsia="ja-JP"/>
              </w:rPr>
              <w:t>-</w:t>
            </w:r>
            <w:r w:rsidRPr="007D618B">
              <w:rPr>
                <w:szCs w:val="22"/>
                <w:lang w:val="da-DK"/>
              </w:rPr>
              <w:t>352-4</w:t>
            </w:r>
            <w:r>
              <w:rPr>
                <w:szCs w:val="22"/>
                <w:lang w:val="da-DK"/>
              </w:rPr>
              <w:t>099</w:t>
            </w:r>
            <w:r>
              <w:rPr>
                <w:szCs w:val="22"/>
                <w:lang w:val="da-DK"/>
              </w:rPr>
              <w:br/>
            </w:r>
            <w:hyperlink r:id="rId10" w:history="1">
              <w:r w:rsidR="00890101" w:rsidRPr="00890101">
                <w:rPr>
                  <w:rStyle w:val="Hyperlink"/>
                  <w:szCs w:val="22"/>
                  <w:lang w:val="da-DK" w:eastAsia="ja-JP"/>
                </w:rPr>
                <w:t>Munsi.Haque@am.sony.com</w:t>
              </w:r>
            </w:hyperlink>
          </w:p>
          <w:p w:rsidR="001A1229" w:rsidRDefault="00586E8D" w:rsidP="001A1229">
            <w:pPr>
              <w:spacing w:before="0" w:after="60"/>
              <w:rPr>
                <w:szCs w:val="22"/>
                <w:lang w:val="da-DK" w:eastAsia="ja-JP"/>
              </w:rPr>
            </w:pPr>
            <w:hyperlink r:id="rId11" w:history="1">
              <w:r w:rsidR="00890101" w:rsidRPr="00890101">
                <w:rPr>
                  <w:rStyle w:val="Hyperlink"/>
                  <w:szCs w:val="22"/>
                  <w:lang w:val="da-DK" w:eastAsia="ja-JP"/>
                </w:rPr>
                <w:t>Ali.Tabatabai@am.sony.com</w:t>
              </w:r>
            </w:hyperlink>
          </w:p>
          <w:p w:rsidR="00890101" w:rsidRDefault="00890101" w:rsidP="001A1229">
            <w:pPr>
              <w:spacing w:before="0" w:after="60"/>
              <w:rPr>
                <w:szCs w:val="22"/>
                <w:lang w:val="da-DK" w:eastAsia="ja-JP"/>
              </w:rPr>
            </w:pPr>
          </w:p>
          <w:p w:rsidR="00C62646" w:rsidRPr="007A4A52" w:rsidRDefault="00C62646" w:rsidP="001A1229">
            <w:pPr>
              <w:spacing w:before="0" w:after="60"/>
              <w:rPr>
                <w:szCs w:val="22"/>
                <w:lang w:val="da-DK"/>
              </w:rPr>
            </w:pPr>
            <w:r>
              <w:rPr>
                <w:rFonts w:hint="eastAsia"/>
                <w:szCs w:val="22"/>
                <w:lang w:val="da-DK" w:eastAsia="ja-JP"/>
              </w:rPr>
              <w:t>+81-3-54</w:t>
            </w:r>
            <w:r w:rsidRPr="002065EA">
              <w:rPr>
                <w:rFonts w:hint="eastAsia"/>
                <w:szCs w:val="22"/>
                <w:lang w:val="da-DK" w:eastAsia="ja-JP"/>
              </w:rPr>
              <w:t>35-3308</w:t>
            </w:r>
            <w:r>
              <w:rPr>
                <w:szCs w:val="22"/>
                <w:lang w:val="da-DK"/>
              </w:rPr>
              <w:br/>
            </w:r>
            <w:hyperlink r:id="rId12" w:history="1">
              <w:r w:rsidRPr="008D0B78">
                <w:rPr>
                  <w:rStyle w:val="Hyperlink"/>
                  <w:rFonts w:hint="eastAsia"/>
                  <w:szCs w:val="22"/>
                  <w:lang w:eastAsia="ja-JP"/>
                </w:rPr>
                <w:t>teruhikos@jp.sony.com</w:t>
              </w:r>
            </w:hyperlink>
            <w:r w:rsidRPr="007A4A52">
              <w:rPr>
                <w:szCs w:val="22"/>
                <w:lang w:val="da-DK"/>
              </w:rPr>
              <w:br/>
            </w:r>
          </w:p>
        </w:tc>
      </w:tr>
      <w:tr w:rsidR="00C62646" w:rsidRPr="00AE341B">
        <w:tc>
          <w:tcPr>
            <w:tcW w:w="1458" w:type="dxa"/>
          </w:tcPr>
          <w:p w:rsidR="00DB3335" w:rsidRDefault="00DB3335">
            <w:pPr>
              <w:spacing w:before="60" w:after="60"/>
              <w:rPr>
                <w:i/>
                <w:szCs w:val="22"/>
              </w:rPr>
            </w:pPr>
          </w:p>
          <w:p w:rsidR="00C62646" w:rsidRPr="00AE341B" w:rsidRDefault="00C62646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DB3335" w:rsidRDefault="00DB3335" w:rsidP="00D75B43">
            <w:pPr>
              <w:spacing w:before="60" w:after="60"/>
              <w:rPr>
                <w:szCs w:val="22"/>
                <w:lang w:eastAsia="ja-JP"/>
              </w:rPr>
            </w:pPr>
          </w:p>
          <w:p w:rsidR="00C62646" w:rsidRPr="009028C1" w:rsidRDefault="00C62646" w:rsidP="00D75B43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Sony Electronics Inc.</w:t>
            </w:r>
            <w:r>
              <w:rPr>
                <w:szCs w:val="22"/>
                <w:lang w:eastAsia="ja-JP"/>
              </w:rPr>
              <w:t xml:space="preserve">/ </w:t>
            </w:r>
            <w:r>
              <w:rPr>
                <w:rFonts w:hint="eastAsia"/>
                <w:szCs w:val="22"/>
                <w:lang w:eastAsia="ja-JP"/>
              </w:rPr>
              <w:t>Sony Corp.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62477C" w:rsidRDefault="0062477C" w:rsidP="0062477C">
      <w:r>
        <w:t>This document</w:t>
      </w:r>
      <w:r w:rsidR="000F54EE">
        <w:t xml:space="preserve"> enlists</w:t>
      </w:r>
      <w:r w:rsidR="001F13DC">
        <w:t xml:space="preserve"> </w:t>
      </w:r>
      <w:r w:rsidR="006927FB">
        <w:t xml:space="preserve"> the </w:t>
      </w:r>
      <w:r w:rsidR="001A1229">
        <w:t>VUI parameters</w:t>
      </w:r>
      <w:r w:rsidR="006927FB">
        <w:t xml:space="preserve"> defined in AVC.</w:t>
      </w:r>
      <w:r w:rsidR="001F13DC">
        <w:t xml:space="preserve"> The AVC VUI syntax structures are shown in a tabular form with </w:t>
      </w:r>
      <w:r w:rsidR="006927FB">
        <w:t xml:space="preserve"> </w:t>
      </w:r>
      <w:r w:rsidR="001F13DC">
        <w:t xml:space="preserve">some observations </w:t>
      </w:r>
      <w:r w:rsidR="00F54A9B">
        <w:t xml:space="preserve">about their possible usage </w:t>
      </w:r>
      <w:r w:rsidR="001F13DC">
        <w:t xml:space="preserve"> in HEVC context. </w:t>
      </w:r>
    </w:p>
    <w:p w:rsidR="00C81046" w:rsidRDefault="00C81046" w:rsidP="006927FB"/>
    <w:p w:rsidR="002913DE" w:rsidRPr="003E69FD" w:rsidRDefault="002913DE" w:rsidP="002913DE">
      <w:pPr>
        <w:pStyle w:val="StyleHeading1Justified"/>
      </w:pPr>
      <w:r>
        <w:t>Usage of AVC VUI parameters in HEVC</w:t>
      </w:r>
    </w:p>
    <w:p w:rsidR="002913DE" w:rsidRDefault="002913DE" w:rsidP="002913DE">
      <w:r>
        <w:t xml:space="preserve">In JCTVC-B121[1], there was a brief one-liner note to use VUI parameter "as appropriate", but the details on </w:t>
      </w:r>
      <w:r w:rsidR="00B35DC4">
        <w:t xml:space="preserve">the possible application(s) </w:t>
      </w:r>
      <w:r>
        <w:t>of  AVC VUI parameters inside HEVC was not looked into by the break-out group</w:t>
      </w:r>
      <w:r w:rsidRPr="00FE60DD">
        <w:t xml:space="preserve">. </w:t>
      </w:r>
    </w:p>
    <w:p w:rsidR="002913DE" w:rsidRPr="00BD5BE0" w:rsidRDefault="00FC4041" w:rsidP="002913DE">
      <w:r>
        <w:t xml:space="preserve">In this contribution, a </w:t>
      </w:r>
      <w:r w:rsidR="002913DE" w:rsidRPr="00FE60DD">
        <w:t xml:space="preserve">table on AVC VUI parameter </w:t>
      </w:r>
      <w:r>
        <w:t xml:space="preserve">syntax structures is presented </w:t>
      </w:r>
      <w:r w:rsidR="002913DE" w:rsidRPr="00FE60DD">
        <w:t xml:space="preserve">to study </w:t>
      </w:r>
      <w:r w:rsidR="002913DE">
        <w:t xml:space="preserve">the applicability </w:t>
      </w:r>
      <w:r w:rsidR="002913DE" w:rsidRPr="00FE60DD">
        <w:t>of these VUI parameters to HEVC</w:t>
      </w:r>
      <w:r w:rsidR="002913DE">
        <w:t xml:space="preserve">. </w:t>
      </w:r>
      <w:r w:rsidR="003A236A">
        <w:t>T</w:t>
      </w:r>
      <w:r w:rsidR="002913DE" w:rsidRPr="00FE60DD">
        <w:t>h</w:t>
      </w:r>
      <w:r w:rsidR="002913DE">
        <w:t xml:space="preserve">is </w:t>
      </w:r>
      <w:r w:rsidR="002913DE" w:rsidRPr="00FE60DD">
        <w:t xml:space="preserve">table </w:t>
      </w:r>
      <w:r w:rsidR="003A236A">
        <w:t>can be used</w:t>
      </w:r>
      <w:r w:rsidR="002913DE">
        <w:t xml:space="preserve"> </w:t>
      </w:r>
      <w:r w:rsidR="002913DE" w:rsidRPr="00FE60DD">
        <w:t xml:space="preserve">as the starting point for </w:t>
      </w:r>
      <w:r w:rsidR="002913DE">
        <w:t xml:space="preserve">more elaborate discussion on this topic. </w:t>
      </w:r>
      <w:r w:rsidR="002913DE">
        <w:rPr>
          <w:szCs w:val="22"/>
        </w:rPr>
        <w:t>The AVC</w:t>
      </w:r>
      <w:r w:rsidR="002913DE" w:rsidRPr="006E79E7">
        <w:rPr>
          <w:szCs w:val="22"/>
        </w:rPr>
        <w:t xml:space="preserve"> VUI parameters </w:t>
      </w:r>
      <w:r w:rsidR="002913DE">
        <w:rPr>
          <w:szCs w:val="22"/>
        </w:rPr>
        <w:t>with their corresponding</w:t>
      </w:r>
      <w:r w:rsidR="002913DE" w:rsidRPr="006E79E7">
        <w:rPr>
          <w:szCs w:val="22"/>
        </w:rPr>
        <w:t xml:space="preserve"> syntax and semantics </w:t>
      </w:r>
      <w:r w:rsidR="002913DE">
        <w:rPr>
          <w:szCs w:val="22"/>
        </w:rPr>
        <w:t>need to</w:t>
      </w:r>
      <w:r w:rsidR="002913DE" w:rsidRPr="006E79E7">
        <w:rPr>
          <w:szCs w:val="22"/>
        </w:rPr>
        <w:t xml:space="preserve"> be carefully </w:t>
      </w:r>
      <w:r w:rsidR="002913DE">
        <w:rPr>
          <w:szCs w:val="22"/>
        </w:rPr>
        <w:t>investigated</w:t>
      </w:r>
      <w:r w:rsidR="002913DE" w:rsidRPr="006E79E7">
        <w:rPr>
          <w:szCs w:val="22"/>
        </w:rPr>
        <w:t xml:space="preserve"> and adapted </w:t>
      </w:r>
      <w:r w:rsidR="002913DE">
        <w:rPr>
          <w:szCs w:val="22"/>
        </w:rPr>
        <w:t xml:space="preserve">in the light of </w:t>
      </w:r>
      <w:r w:rsidR="002913DE" w:rsidRPr="006E79E7">
        <w:rPr>
          <w:szCs w:val="22"/>
        </w:rPr>
        <w:t xml:space="preserve">the HEVC context as </w:t>
      </w:r>
      <w:r w:rsidR="002913DE">
        <w:rPr>
          <w:szCs w:val="22"/>
        </w:rPr>
        <w:t>necessary</w:t>
      </w:r>
      <w:r w:rsidR="002913DE" w:rsidRPr="006E79E7">
        <w:rPr>
          <w:szCs w:val="22"/>
        </w:rPr>
        <w:t>.</w:t>
      </w:r>
    </w:p>
    <w:p w:rsidR="002913DE" w:rsidRDefault="00BD5BE0" w:rsidP="002913DE">
      <w:r>
        <w:t>It might be noted that a similar proposal on "Re-use" of SEI messages is already in progress in the previous meetings with contributions JCTVC-E346 [</w:t>
      </w:r>
      <w:r w:rsidR="00DB3335">
        <w:t>2</w:t>
      </w:r>
      <w:r>
        <w:t xml:space="preserve">] and JCTVC-D082. </w:t>
      </w:r>
      <w:r w:rsidR="008346AC">
        <w:t xml:space="preserve"> </w:t>
      </w:r>
    </w:p>
    <w:p w:rsidR="00BD5BE0" w:rsidRPr="006E79E7" w:rsidRDefault="00BD5BE0" w:rsidP="00BD5BE0">
      <w:pPr>
        <w:rPr>
          <w:szCs w:val="22"/>
        </w:rPr>
      </w:pPr>
      <w:r w:rsidRPr="006E79E7">
        <w:rPr>
          <w:szCs w:val="22"/>
        </w:rPr>
        <w:t xml:space="preserve">The table below lists all the VUI parameters </w:t>
      </w:r>
      <w:r>
        <w:rPr>
          <w:szCs w:val="22"/>
        </w:rPr>
        <w:t>available</w:t>
      </w:r>
      <w:r w:rsidRPr="006E79E7">
        <w:rPr>
          <w:szCs w:val="22"/>
        </w:rPr>
        <w:t xml:space="preserve"> in AVC, and a</w:t>
      </w:r>
      <w:r>
        <w:rPr>
          <w:szCs w:val="22"/>
        </w:rPr>
        <w:t xml:space="preserve"> corresponding</w:t>
      </w:r>
      <w:r w:rsidRPr="006E79E7">
        <w:rPr>
          <w:szCs w:val="22"/>
        </w:rPr>
        <w:t xml:space="preserve"> comment </w:t>
      </w:r>
      <w:r>
        <w:rPr>
          <w:szCs w:val="22"/>
        </w:rPr>
        <w:t xml:space="preserve">is added </w:t>
      </w:r>
      <w:r w:rsidRPr="006E79E7">
        <w:rPr>
          <w:szCs w:val="22"/>
        </w:rPr>
        <w:t>for each VUI parameter</w:t>
      </w:r>
      <w:r>
        <w:rPr>
          <w:szCs w:val="22"/>
        </w:rPr>
        <w:t>. These comments deal with</w:t>
      </w:r>
      <w:r w:rsidRPr="006E79E7">
        <w:rPr>
          <w:szCs w:val="22"/>
        </w:rPr>
        <w:t xml:space="preserve"> whether</w:t>
      </w:r>
      <w:r>
        <w:rPr>
          <w:szCs w:val="22"/>
        </w:rPr>
        <w:t xml:space="preserve"> the AVC VUI parameter</w:t>
      </w:r>
      <w:r w:rsidRPr="006E79E7">
        <w:rPr>
          <w:szCs w:val="22"/>
        </w:rPr>
        <w:t xml:space="preserve"> should be supported in HEVC </w:t>
      </w:r>
      <w:r>
        <w:rPr>
          <w:szCs w:val="22"/>
        </w:rPr>
        <w:t>with some reasoning or none, or whether some of these need more studies for future consideration</w:t>
      </w:r>
      <w:r w:rsidRPr="006E79E7">
        <w:rPr>
          <w:szCs w:val="22"/>
        </w:rPr>
        <w:t xml:space="preserve">, </w:t>
      </w:r>
      <w:r>
        <w:rPr>
          <w:szCs w:val="22"/>
        </w:rPr>
        <w:t xml:space="preserve">or whether  the definition of syntax / semantics </w:t>
      </w:r>
      <w:r w:rsidRPr="006E79E7">
        <w:rPr>
          <w:szCs w:val="22"/>
        </w:rPr>
        <w:t xml:space="preserve">should be </w:t>
      </w:r>
      <w:r>
        <w:rPr>
          <w:szCs w:val="22"/>
        </w:rPr>
        <w:t>modified</w:t>
      </w:r>
      <w:r w:rsidR="00DB3335">
        <w:rPr>
          <w:szCs w:val="22"/>
        </w:rPr>
        <w:t>.</w:t>
      </w:r>
    </w:p>
    <w:p w:rsidR="002913DE" w:rsidRDefault="002913DE" w:rsidP="002913DE"/>
    <w:p w:rsidR="00C81046" w:rsidRPr="00562AEF" w:rsidRDefault="00C81046" w:rsidP="006927FB"/>
    <w:p w:rsidR="00C81046" w:rsidRDefault="00C81046">
      <w:r>
        <w:br w:type="page"/>
      </w:r>
    </w:p>
    <w:tbl>
      <w:tblPr>
        <w:tblW w:w="9199" w:type="dxa"/>
        <w:tblInd w:w="89" w:type="dxa"/>
        <w:tblLayout w:type="fixed"/>
        <w:tblLook w:val="04A0"/>
      </w:tblPr>
      <w:tblGrid>
        <w:gridCol w:w="2989"/>
        <w:gridCol w:w="3240"/>
        <w:gridCol w:w="2970"/>
      </w:tblGrid>
      <w:tr w:rsidR="00327FE7" w:rsidRPr="009F4EAE" w:rsidTr="00327FE7">
        <w:trPr>
          <w:trHeight w:val="270"/>
        </w:trPr>
        <w:tc>
          <w:tcPr>
            <w:tcW w:w="62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F4EAE">
              <w:rPr>
                <w:b/>
                <w:bCs/>
                <w:color w:val="000000"/>
                <w:sz w:val="20"/>
              </w:rPr>
              <w:lastRenderedPageBreak/>
              <w:t>VUI parameters in AVC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F4EAE">
              <w:rPr>
                <w:b/>
                <w:bCs/>
                <w:color w:val="000000"/>
                <w:sz w:val="20"/>
              </w:rPr>
              <w:t>In HEVC?</w:t>
            </w:r>
          </w:p>
        </w:tc>
      </w:tr>
      <w:tr w:rsidR="00327FE7" w:rsidRPr="009F4EAE" w:rsidTr="00327FE7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aspect_ratio_info_present_flag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FD1E03">
        <w:trPr>
          <w:trHeight w:val="547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aspect_ratio_info_present_flag ) {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43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aspect_ratio_idc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  <w:r>
              <w:rPr>
                <w:color w:val="000000"/>
                <w:sz w:val="20"/>
              </w:rPr>
              <w:t>, see Scalability AhG</w:t>
            </w:r>
            <w:r w:rsidRPr="00057F2B">
              <w:rPr>
                <w:color w:val="000000"/>
                <w:sz w:val="20"/>
                <w:vertAlign w:val="superscript"/>
              </w:rPr>
              <w:t>(*1)</w:t>
            </w:r>
          </w:p>
        </w:tc>
      </w:tr>
      <w:tr w:rsidR="00327FE7" w:rsidRPr="009F4EAE" w:rsidTr="00FD1E03">
        <w:trPr>
          <w:trHeight w:val="47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aspect_ratio_idc  = =  Extended_SAR ) {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259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sar_width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sar_height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}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268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}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overscan_info_present_flag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FD1E03">
        <w:trPr>
          <w:trHeight w:val="358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if( overscan_info_present_flag </w:t>
            </w:r>
            <w:r w:rsidRPr="009F4EAE">
              <w:rPr>
                <w:color w:val="000000"/>
                <w:sz w:val="20"/>
              </w:rPr>
              <w:t>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overscan_appropriate_flag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FD1E03">
        <w:trPr>
          <w:trHeight w:val="38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video_signal_type_present_flag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78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</w:t>
            </w:r>
            <w:r>
              <w:rPr>
                <w:color w:val="000000"/>
                <w:sz w:val="20"/>
              </w:rPr>
              <w:t xml:space="preserve"> </w:t>
            </w:r>
            <w:r w:rsidRPr="009F4EAE">
              <w:rPr>
                <w:color w:val="000000"/>
                <w:sz w:val="20"/>
              </w:rPr>
              <w:t>( video_signal_type_present_flag ) {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video_format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video_full_range_flag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FD1E03">
        <w:trPr>
          <w:trHeight w:val="83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colour_description_present_flag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E8D" w:rsidRDefault="00327FE7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  <w:r>
              <w:rPr>
                <w:color w:val="000000"/>
                <w:sz w:val="20"/>
              </w:rPr>
              <w:t>, see AVC Amd1</w:t>
            </w:r>
            <w:r w:rsidRPr="00057F2B">
              <w:rPr>
                <w:color w:val="000000"/>
                <w:sz w:val="20"/>
                <w:vertAlign w:val="superscript"/>
              </w:rPr>
              <w:t>(*</w:t>
            </w:r>
            <w:r w:rsidR="00DB3335">
              <w:rPr>
                <w:color w:val="000000"/>
                <w:sz w:val="20"/>
                <w:vertAlign w:val="superscript"/>
              </w:rPr>
              <w:t>3</w:t>
            </w:r>
            <w:r w:rsidRPr="00057F2B">
              <w:rPr>
                <w:color w:val="000000"/>
                <w:sz w:val="20"/>
                <w:vertAlign w:val="superscript"/>
              </w:rPr>
              <w:t>)</w:t>
            </w:r>
            <w:r>
              <w:rPr>
                <w:color w:val="000000"/>
                <w:sz w:val="20"/>
              </w:rPr>
              <w:t xml:space="preserve">.  Possible applications in </w:t>
            </w:r>
            <w:r w:rsidRPr="009F4EAE">
              <w:rPr>
                <w:color w:val="000000"/>
                <w:sz w:val="20"/>
              </w:rPr>
              <w:t xml:space="preserve"> Display Color Gamut Mapping</w:t>
            </w:r>
            <w:r>
              <w:rPr>
                <w:color w:val="000000"/>
                <w:sz w:val="20"/>
              </w:rPr>
              <w:t>!</w:t>
            </w:r>
          </w:p>
        </w:tc>
      </w:tr>
      <w:tr w:rsidR="00327FE7" w:rsidRPr="009F4EAE" w:rsidTr="00FD1E03">
        <w:trPr>
          <w:trHeight w:val="601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colour_description_present_flag ) {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FD1E03">
        <w:trPr>
          <w:trHeight w:val="349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colour_primaries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E8D" w:rsidRDefault="00327FE7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  <w:r>
              <w:rPr>
                <w:color w:val="000000"/>
                <w:sz w:val="20"/>
              </w:rPr>
              <w:t>, see AVC Amd1</w:t>
            </w:r>
            <w:r w:rsidRPr="00057F2B">
              <w:rPr>
                <w:color w:val="000000"/>
                <w:sz w:val="20"/>
                <w:vertAlign w:val="superscript"/>
              </w:rPr>
              <w:t>(*</w:t>
            </w:r>
            <w:r w:rsidR="00DB3335">
              <w:rPr>
                <w:color w:val="000000"/>
                <w:sz w:val="20"/>
                <w:vertAlign w:val="superscript"/>
              </w:rPr>
              <w:t>3</w:t>
            </w:r>
            <w:r w:rsidRPr="00057F2B">
              <w:rPr>
                <w:color w:val="000000"/>
                <w:sz w:val="20"/>
                <w:vertAlign w:val="superscript"/>
              </w:rPr>
              <w:t>)</w:t>
            </w:r>
            <w:r>
              <w:rPr>
                <w:color w:val="000000"/>
                <w:sz w:val="20"/>
              </w:rPr>
              <w:t xml:space="preserve">.  </w:t>
            </w:r>
          </w:p>
        </w:tc>
      </w:tr>
      <w:tr w:rsidR="00327FE7" w:rsidRPr="009F4EAE" w:rsidTr="00FD1E03">
        <w:trPr>
          <w:trHeight w:val="412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transfer_characteristics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E8D" w:rsidRDefault="00327FE7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  <w:r>
              <w:rPr>
                <w:color w:val="000000"/>
                <w:sz w:val="20"/>
              </w:rPr>
              <w:t>, see AVC Amd1</w:t>
            </w:r>
            <w:r w:rsidRPr="00057F2B">
              <w:rPr>
                <w:color w:val="000000"/>
                <w:sz w:val="20"/>
                <w:vertAlign w:val="superscript"/>
              </w:rPr>
              <w:t>(*</w:t>
            </w:r>
            <w:r w:rsidR="00DB3335">
              <w:rPr>
                <w:color w:val="000000"/>
                <w:sz w:val="20"/>
                <w:vertAlign w:val="superscript"/>
              </w:rPr>
              <w:t>3</w:t>
            </w:r>
            <w:r w:rsidRPr="00057F2B">
              <w:rPr>
                <w:color w:val="000000"/>
                <w:sz w:val="20"/>
                <w:vertAlign w:val="superscript"/>
              </w:rPr>
              <w:t>)</w:t>
            </w:r>
            <w:r>
              <w:rPr>
                <w:color w:val="000000"/>
                <w:sz w:val="20"/>
              </w:rPr>
              <w:t xml:space="preserve">.  </w:t>
            </w:r>
          </w:p>
        </w:tc>
      </w:tr>
      <w:tr w:rsidR="00327FE7" w:rsidRPr="009F4EAE" w:rsidTr="00FD1E03">
        <w:trPr>
          <w:trHeight w:val="331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matrix_coefficients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E8D" w:rsidRDefault="00327FE7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  <w:r>
              <w:rPr>
                <w:color w:val="000000"/>
                <w:sz w:val="20"/>
              </w:rPr>
              <w:t>, see AVC Amd1</w:t>
            </w:r>
            <w:r w:rsidRPr="00057F2B">
              <w:rPr>
                <w:color w:val="000000"/>
                <w:sz w:val="20"/>
                <w:vertAlign w:val="superscript"/>
              </w:rPr>
              <w:t>(*</w:t>
            </w:r>
            <w:r w:rsidR="00DB3335">
              <w:rPr>
                <w:color w:val="000000"/>
                <w:sz w:val="20"/>
                <w:vertAlign w:val="superscript"/>
              </w:rPr>
              <w:t>3</w:t>
            </w:r>
            <w:r w:rsidRPr="00057F2B">
              <w:rPr>
                <w:color w:val="000000"/>
                <w:sz w:val="20"/>
                <w:vertAlign w:val="superscript"/>
              </w:rPr>
              <w:t>)</w:t>
            </w:r>
            <w:r>
              <w:rPr>
                <w:color w:val="000000"/>
                <w:sz w:val="20"/>
              </w:rPr>
              <w:t xml:space="preserve">.  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}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}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proofErr w:type="spellStart"/>
            <w:r w:rsidRPr="009F4EAE">
              <w:rPr>
                <w:color w:val="000000"/>
                <w:sz w:val="20"/>
              </w:rPr>
              <w:t>timing_info_present_flag</w:t>
            </w:r>
            <w:proofErr w:type="spellEnd"/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  <w:r>
              <w:rPr>
                <w:color w:val="000000"/>
                <w:sz w:val="20"/>
              </w:rPr>
              <w:t>. May be used in video editing applications!</w:t>
            </w:r>
          </w:p>
        </w:tc>
      </w:tr>
      <w:tr w:rsidR="00327FE7" w:rsidRPr="009F4EAE" w:rsidTr="00327FE7">
        <w:trPr>
          <w:trHeight w:val="358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timing_info_present_flag ) {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num_units_in_tick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time_scale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41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}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FD1E03">
        <w:trPr>
          <w:trHeight w:val="691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nal_hrd_parameters_present_flag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F50A86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 xml:space="preserve">Probably </w:t>
            </w:r>
            <w:r>
              <w:rPr>
                <w:color w:val="000000"/>
                <w:sz w:val="20"/>
              </w:rPr>
              <w:t>Y</w:t>
            </w:r>
            <w:r w:rsidRPr="009F4EAE">
              <w:rPr>
                <w:color w:val="000000"/>
                <w:sz w:val="20"/>
              </w:rPr>
              <w:t xml:space="preserve">es. </w:t>
            </w:r>
            <w:r>
              <w:rPr>
                <w:color w:val="000000"/>
                <w:sz w:val="20"/>
              </w:rPr>
              <w:t xml:space="preserve">See </w:t>
            </w:r>
            <w:r w:rsidRPr="009F4EAE">
              <w:rPr>
                <w:color w:val="000000"/>
                <w:sz w:val="20"/>
              </w:rPr>
              <w:t xml:space="preserve">HRD </w:t>
            </w:r>
            <w:r>
              <w:rPr>
                <w:color w:val="000000"/>
                <w:sz w:val="20"/>
              </w:rPr>
              <w:t xml:space="preserve">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  <w:r w:rsidR="00F50A86">
              <w:rPr>
                <w:color w:val="000000"/>
                <w:sz w:val="20"/>
              </w:rPr>
              <w:t xml:space="preserve">; </w:t>
            </w:r>
            <w:r>
              <w:rPr>
                <w:color w:val="000000"/>
                <w:sz w:val="20"/>
              </w:rPr>
              <w:t xml:space="preserve">Instead of </w:t>
            </w:r>
            <w:proofErr w:type="spellStart"/>
            <w:r>
              <w:rPr>
                <w:color w:val="000000"/>
                <w:sz w:val="20"/>
              </w:rPr>
              <w:t>Macroblock</w:t>
            </w:r>
            <w:proofErr w:type="spellEnd"/>
            <w:r>
              <w:rPr>
                <w:color w:val="000000"/>
                <w:sz w:val="20"/>
              </w:rPr>
              <w:t>, use Coding Unit structures</w:t>
            </w:r>
            <w:r w:rsidR="00BF70A0">
              <w:rPr>
                <w:color w:val="000000"/>
                <w:sz w:val="20"/>
              </w:rPr>
              <w:t>!</w:t>
            </w:r>
            <w:r>
              <w:rPr>
                <w:color w:val="000000"/>
                <w:sz w:val="20"/>
              </w:rPr>
              <w:t xml:space="preserve"> </w:t>
            </w:r>
          </w:p>
        </w:tc>
      </w:tr>
      <w:tr w:rsidR="00327FE7" w:rsidRPr="009F4EAE" w:rsidTr="00327FE7">
        <w:trPr>
          <w:trHeight w:val="70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lastRenderedPageBreak/>
              <w:t>if( nal_hrd_parameters_present_flag 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9F4EAE">
              <w:rPr>
                <w:b/>
                <w:bCs/>
                <w:i/>
                <w:iCs/>
                <w:color w:val="000000"/>
                <w:sz w:val="20"/>
              </w:rPr>
              <w:t>hrd_parameters( 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 xml:space="preserve">Probably </w:t>
            </w:r>
            <w:r>
              <w:rPr>
                <w:color w:val="000000"/>
                <w:sz w:val="20"/>
              </w:rPr>
              <w:t>Y</w:t>
            </w:r>
            <w:r w:rsidRPr="009F4EAE">
              <w:rPr>
                <w:color w:val="000000"/>
                <w:sz w:val="20"/>
              </w:rPr>
              <w:t xml:space="preserve">es. </w:t>
            </w:r>
            <w:r>
              <w:rPr>
                <w:color w:val="000000"/>
                <w:sz w:val="20"/>
              </w:rPr>
              <w:t xml:space="preserve">See </w:t>
            </w:r>
            <w:r w:rsidRPr="009F4EAE">
              <w:rPr>
                <w:color w:val="000000"/>
                <w:sz w:val="20"/>
              </w:rPr>
              <w:t xml:space="preserve">HRD </w:t>
            </w:r>
            <w:r>
              <w:rPr>
                <w:color w:val="000000"/>
                <w:sz w:val="20"/>
              </w:rPr>
              <w:t xml:space="preserve">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327FE7" w:rsidRPr="009F4EAE" w:rsidTr="00327FE7">
        <w:trPr>
          <w:trHeight w:val="556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vcl_hrd_parameters_present_flag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FE7" w:rsidRDefault="00327FE7">
            <w:r w:rsidRPr="004F75EC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327FE7" w:rsidRPr="009F4EAE" w:rsidTr="00327FE7">
        <w:trPr>
          <w:trHeight w:val="601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vcl_hrd_parameters_present_flag 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9F4EAE">
              <w:rPr>
                <w:b/>
                <w:bCs/>
                <w:i/>
                <w:iCs/>
                <w:color w:val="000000"/>
                <w:sz w:val="20"/>
              </w:rPr>
              <w:t>hrd_parameters( )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FE7" w:rsidRDefault="00327FE7">
            <w:r w:rsidRPr="004F75EC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327FE7" w:rsidRPr="009F4EAE" w:rsidTr="00327FE7">
        <w:trPr>
          <w:trHeight w:val="1132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nal_hrd_parameters_present_flag  | |  vcl_hrd_parameters_present_flag 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low_delay_hrd_flag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FE7" w:rsidRDefault="00327FE7">
            <w:r w:rsidRPr="004F75EC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proofErr w:type="spellStart"/>
            <w:r w:rsidRPr="009F4EAE">
              <w:rPr>
                <w:color w:val="000000"/>
                <w:sz w:val="20"/>
              </w:rPr>
              <w:t>bitstream_restriction_flag</w:t>
            </w:r>
            <w:proofErr w:type="spellEnd"/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5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if( bitstream_restriction_flag ) {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  <w:tr w:rsidR="00327FE7" w:rsidRPr="009F4EAE" w:rsidTr="00327FE7">
        <w:trPr>
          <w:trHeight w:val="36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motion_vectors_over_pic_boundaries_flag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max_bytes_per_pic_denom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925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max_bits_per_mb_denom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Probably Yes, but Macroblock structure to be replaced by Coding Block or Largest Coding Block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log2_max_mv_length_horizontal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log2_max_mv_length_vertical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Yes</w:t>
            </w:r>
          </w:p>
        </w:tc>
      </w:tr>
      <w:tr w:rsidR="00327FE7" w:rsidRPr="009F4EAE" w:rsidTr="00327FE7">
        <w:trPr>
          <w:trHeight w:val="1159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right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max_dec_frame_buffering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 xml:space="preserve">Yes. Also new </w:t>
            </w:r>
            <w:r>
              <w:rPr>
                <w:color w:val="000000"/>
                <w:sz w:val="20"/>
              </w:rPr>
              <w:t>definition in</w:t>
            </w:r>
            <w:r w:rsidRPr="009F4EAE">
              <w:rPr>
                <w:color w:val="000000"/>
                <w:sz w:val="20"/>
              </w:rPr>
              <w:t xml:space="preserve"> semantics for profile_idc,  constraint_set_flags (if added, currently "reserved_zero_8bits" in WD3)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327FE7" w:rsidRPr="009F4EAE" w:rsidTr="00327FE7">
        <w:trPr>
          <w:trHeight w:val="270"/>
        </w:trPr>
        <w:tc>
          <w:tcPr>
            <w:tcW w:w="29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}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9F4EAE" w:rsidRDefault="00327FE7" w:rsidP="00723200">
            <w:pPr>
              <w:jc w:val="center"/>
              <w:rPr>
                <w:color w:val="000000"/>
                <w:sz w:val="20"/>
              </w:rPr>
            </w:pPr>
            <w:r w:rsidRPr="009F4EAE">
              <w:rPr>
                <w:color w:val="000000"/>
                <w:sz w:val="20"/>
              </w:rPr>
              <w:t> </w:t>
            </w:r>
          </w:p>
        </w:tc>
      </w:tr>
    </w:tbl>
    <w:p w:rsidR="00723200" w:rsidRDefault="00723200" w:rsidP="00723200"/>
    <w:tbl>
      <w:tblPr>
        <w:tblW w:w="9199" w:type="dxa"/>
        <w:tblInd w:w="89" w:type="dxa"/>
        <w:tblLayout w:type="fixed"/>
        <w:tblLook w:val="04A0"/>
      </w:tblPr>
      <w:tblGrid>
        <w:gridCol w:w="2629"/>
        <w:gridCol w:w="3600"/>
        <w:gridCol w:w="2970"/>
      </w:tblGrid>
      <w:tr w:rsidR="00327FE7" w:rsidRPr="0018125E" w:rsidTr="006D428A">
        <w:trPr>
          <w:trHeight w:val="270"/>
        </w:trPr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8125E">
              <w:rPr>
                <w:b/>
                <w:bCs/>
                <w:color w:val="000000"/>
                <w:sz w:val="20"/>
              </w:rPr>
              <w:t>hrd_parameters( )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8125E">
              <w:rPr>
                <w:b/>
                <w:bCs/>
                <w:color w:val="000000"/>
                <w:sz w:val="20"/>
              </w:rPr>
              <w:t>VUI parameters in AVC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18125E">
              <w:rPr>
                <w:b/>
                <w:bCs/>
                <w:color w:val="000000"/>
                <w:sz w:val="20"/>
              </w:rPr>
              <w:t>In HEVC?</w:t>
            </w:r>
          </w:p>
        </w:tc>
      </w:tr>
      <w:tr w:rsidR="00327FE7" w:rsidRPr="0018125E" w:rsidTr="006D428A">
        <w:trPr>
          <w:trHeight w:val="403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cpb_cnt_minus1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FE7" w:rsidRDefault="00327FE7">
            <w:r w:rsidRPr="007D424A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327FE7" w:rsidRPr="0018125E" w:rsidTr="006D428A">
        <w:trPr>
          <w:trHeight w:val="270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7FE7" w:rsidRPr="0018125E" w:rsidRDefault="00327FE7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bit_rate_scale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27FE7" w:rsidRDefault="00327FE7">
            <w:r w:rsidRPr="007D424A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270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cpb_size_scale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555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for( SchedSelIdx = 0; SchedSelIdx &lt;= cpb_cnt_minus1; SchedSelIdx++ ) {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394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right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bit_rate_value_minus1[ SchedSelIdx ]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349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right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cpb_size_value_minus1[ SchedSelIdx ]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270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right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cbr_flag[ SchedSelIdx ]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270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}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390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initial_cpb_removal_delay_length_minus1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313"/>
        </w:trPr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cpb_removal_delay_length_minus1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349"/>
        </w:trPr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dpb_output_delay_length_minus1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  <w:tr w:rsidR="00F50A86" w:rsidRPr="0018125E" w:rsidTr="006D428A">
        <w:trPr>
          <w:trHeight w:val="270"/>
        </w:trPr>
        <w:tc>
          <w:tcPr>
            <w:tcW w:w="26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jc w:val="center"/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0A86" w:rsidRPr="0018125E" w:rsidRDefault="00F50A86" w:rsidP="00723200">
            <w:pPr>
              <w:rPr>
                <w:color w:val="000000"/>
                <w:sz w:val="20"/>
              </w:rPr>
            </w:pPr>
            <w:r w:rsidRPr="0018125E">
              <w:rPr>
                <w:color w:val="000000"/>
                <w:sz w:val="20"/>
              </w:rPr>
              <w:t>time_offset_length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50A86" w:rsidRDefault="00F50A86">
            <w:r w:rsidRPr="00224AF4">
              <w:rPr>
                <w:color w:val="000000"/>
                <w:sz w:val="20"/>
              </w:rPr>
              <w:t xml:space="preserve">Probably Yes. See HRD issue </w:t>
            </w:r>
            <w:r w:rsidR="0051210D">
              <w:rPr>
                <w:color w:val="000000"/>
                <w:sz w:val="20"/>
                <w:vertAlign w:val="superscript"/>
              </w:rPr>
              <w:t>(*2)</w:t>
            </w:r>
          </w:p>
        </w:tc>
      </w:tr>
    </w:tbl>
    <w:p w:rsidR="002F3858" w:rsidRPr="002F3858" w:rsidRDefault="002F3858" w:rsidP="00723200">
      <w:pPr>
        <w:rPr>
          <w:b/>
          <w:i/>
          <w:szCs w:val="22"/>
        </w:rPr>
      </w:pPr>
      <w:r w:rsidRPr="002F3858">
        <w:rPr>
          <w:b/>
          <w:i/>
          <w:szCs w:val="22"/>
        </w:rPr>
        <w:t>Notes:</w:t>
      </w:r>
    </w:p>
    <w:p w:rsidR="00723200" w:rsidRPr="002F3858" w:rsidRDefault="00057F2B" w:rsidP="00723200">
      <w:pPr>
        <w:rPr>
          <w:i/>
          <w:color w:val="000000"/>
          <w:szCs w:val="22"/>
        </w:rPr>
      </w:pPr>
      <w:r w:rsidRPr="002F3858">
        <w:rPr>
          <w:i/>
          <w:szCs w:val="22"/>
        </w:rPr>
        <w:t xml:space="preserve">*1: </w:t>
      </w:r>
      <w:r w:rsidRPr="002F3858">
        <w:rPr>
          <w:i/>
          <w:color w:val="000000"/>
          <w:szCs w:val="22"/>
        </w:rPr>
        <w:t>Specifies Sample AR. HEVC Scalability AhG is considering AR Scalability that includes other AR types (Picture, Display). Can be used for Display adjustment wrt Input Source video!</w:t>
      </w:r>
    </w:p>
    <w:p w:rsidR="00057F2B" w:rsidRPr="002F3858" w:rsidRDefault="00057F2B" w:rsidP="00723200">
      <w:pPr>
        <w:rPr>
          <w:i/>
          <w:color w:val="000000"/>
          <w:szCs w:val="22"/>
        </w:rPr>
      </w:pPr>
      <w:r w:rsidRPr="002F3858">
        <w:rPr>
          <w:i/>
          <w:color w:val="000000"/>
          <w:szCs w:val="22"/>
        </w:rPr>
        <w:t>*</w:t>
      </w:r>
      <w:r w:rsidR="0051210D">
        <w:rPr>
          <w:i/>
          <w:color w:val="000000"/>
          <w:szCs w:val="22"/>
        </w:rPr>
        <w:t>2</w:t>
      </w:r>
      <w:r w:rsidRPr="002F3858">
        <w:rPr>
          <w:i/>
          <w:color w:val="000000"/>
          <w:szCs w:val="22"/>
        </w:rPr>
        <w:t>: HRD (System) experts should revisit it, and check the exact syntax and semantics.</w:t>
      </w:r>
    </w:p>
    <w:p w:rsidR="00057F2B" w:rsidRPr="002F3858" w:rsidRDefault="00057F2B" w:rsidP="00723200">
      <w:pPr>
        <w:rPr>
          <w:i/>
          <w:color w:val="000000"/>
          <w:szCs w:val="22"/>
        </w:rPr>
      </w:pPr>
      <w:r w:rsidRPr="002F3858">
        <w:rPr>
          <w:i/>
          <w:szCs w:val="22"/>
        </w:rPr>
        <w:t>*</w:t>
      </w:r>
      <w:r w:rsidR="0051210D">
        <w:rPr>
          <w:i/>
          <w:szCs w:val="22"/>
        </w:rPr>
        <w:t>3</w:t>
      </w:r>
      <w:r w:rsidRPr="002F3858">
        <w:rPr>
          <w:i/>
          <w:szCs w:val="22"/>
        </w:rPr>
        <w:t xml:space="preserve">: </w:t>
      </w:r>
      <w:r w:rsidR="00CA29D6" w:rsidRPr="002F3858">
        <w:rPr>
          <w:i/>
          <w:color w:val="000000"/>
          <w:szCs w:val="22"/>
        </w:rPr>
        <w:t>Same as in</w:t>
      </w:r>
      <w:r w:rsidRPr="002F3858">
        <w:rPr>
          <w:i/>
          <w:color w:val="000000"/>
          <w:szCs w:val="22"/>
        </w:rPr>
        <w:t xml:space="preserve"> AVC Amendment 1 tables for Semantics</w:t>
      </w:r>
      <w:r w:rsidR="00CA29D6" w:rsidRPr="002F3858">
        <w:rPr>
          <w:i/>
          <w:color w:val="000000"/>
          <w:szCs w:val="22"/>
        </w:rPr>
        <w:t xml:space="preserve"> description</w:t>
      </w:r>
      <w:r w:rsidRPr="002F3858">
        <w:rPr>
          <w:i/>
          <w:color w:val="000000"/>
          <w:szCs w:val="22"/>
        </w:rPr>
        <w:t>.</w:t>
      </w:r>
    </w:p>
    <w:p w:rsidR="00FD1E03" w:rsidRPr="00327FE7" w:rsidRDefault="00FD1E03" w:rsidP="00723200">
      <w:pPr>
        <w:rPr>
          <w:szCs w:val="22"/>
        </w:rPr>
      </w:pPr>
    </w:p>
    <w:p w:rsidR="003B5300" w:rsidRDefault="003B5300" w:rsidP="003B5300">
      <w:pPr>
        <w:pStyle w:val="Heading1"/>
      </w:pPr>
      <w:r>
        <w:t>Conclusion</w:t>
      </w:r>
    </w:p>
    <w:p w:rsidR="003B5300" w:rsidRDefault="003B5300" w:rsidP="006840B2">
      <w:r>
        <w:t>This document can be a starting point to further study</w:t>
      </w:r>
      <w:r w:rsidR="006840B2">
        <w:t xml:space="preserve"> </w:t>
      </w:r>
      <w:r>
        <w:t>the usage of AVC VUI paramet</w:t>
      </w:r>
      <w:r w:rsidR="00BF70A0">
        <w:t>ers by the JCT-VC group members.</w:t>
      </w:r>
      <w:r>
        <w:t xml:space="preserve"> </w:t>
      </w:r>
      <w:r w:rsidR="0051210D">
        <w:t xml:space="preserve">This </w:t>
      </w:r>
      <w:r w:rsidR="003A236A">
        <w:t xml:space="preserve">study </w:t>
      </w:r>
      <w:r w:rsidR="0051210D">
        <w:t>needs however to be coordinated with ongoing activities in the requirements</w:t>
      </w:r>
      <w:r w:rsidR="003A236A">
        <w:t xml:space="preserve"> and related </w:t>
      </w:r>
      <w:proofErr w:type="spellStart"/>
      <w:r w:rsidR="003A236A">
        <w:t>AhG</w:t>
      </w:r>
      <w:proofErr w:type="spellEnd"/>
      <w:r w:rsidR="003A236A">
        <w:t xml:space="preserve"> groups</w:t>
      </w:r>
      <w:r w:rsidR="0051210D">
        <w:t xml:space="preserve">. </w:t>
      </w:r>
    </w:p>
    <w:p w:rsidR="003B5300" w:rsidRDefault="003B5300" w:rsidP="006927FB"/>
    <w:p w:rsidR="001F2594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C62646" w:rsidRPr="006927FB" w:rsidRDefault="00C62646" w:rsidP="00C62646">
      <w:pPr>
        <w:jc w:val="both"/>
        <w:rPr>
          <w:szCs w:val="22"/>
        </w:rPr>
      </w:pPr>
      <w:r w:rsidRPr="006927FB">
        <w:rPr>
          <w:rFonts w:hint="eastAsia"/>
          <w:szCs w:val="22"/>
          <w:lang w:eastAsia="ja-JP"/>
        </w:rPr>
        <w:t>Sony Electronics Inc.</w:t>
      </w:r>
      <w:r w:rsidR="00DB3335">
        <w:rPr>
          <w:szCs w:val="22"/>
          <w:lang w:eastAsia="ja-JP"/>
        </w:rPr>
        <w:t xml:space="preserve"> </w:t>
      </w:r>
      <w:r w:rsidR="008346AC">
        <w:rPr>
          <w:szCs w:val="22"/>
          <w:lang w:eastAsia="ja-JP"/>
        </w:rPr>
        <w:t xml:space="preserve">/ Sony Corp. </w:t>
      </w:r>
      <w:r w:rsidRPr="006927FB">
        <w:rPr>
          <w:szCs w:val="22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</w:rPr>
      </w:pPr>
    </w:p>
    <w:p w:rsidR="001269E5" w:rsidRDefault="001269E5" w:rsidP="001269E5">
      <w:pPr>
        <w:pStyle w:val="Heading1"/>
        <w:numPr>
          <w:ilvl w:val="0"/>
          <w:numId w:val="0"/>
        </w:numPr>
        <w:jc w:val="both"/>
        <w:rPr>
          <w:lang w:eastAsia="zh-TW"/>
        </w:rPr>
      </w:pPr>
      <w:r>
        <w:t>References</w:t>
      </w:r>
    </w:p>
    <w:p w:rsidR="00B13651" w:rsidRDefault="00B13651" w:rsidP="00B13651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lang w:eastAsia="zh-TW"/>
        </w:rPr>
      </w:pPr>
      <w:r>
        <w:rPr>
          <w:szCs w:val="22"/>
        </w:rPr>
        <w:t>Rickard Sjoberg</w:t>
      </w:r>
      <w:r>
        <w:rPr>
          <w:lang w:eastAsia="zh-TW"/>
        </w:rPr>
        <w:t>, “</w:t>
      </w:r>
      <w:r w:rsidRPr="00B13651">
        <w:rPr>
          <w:szCs w:val="22"/>
        </w:rPr>
        <w:t>Notes from break-out session on TMuC and AVC high-level syntax</w:t>
      </w:r>
      <w:r>
        <w:rPr>
          <w:lang w:eastAsia="zh-TW"/>
        </w:rPr>
        <w:t xml:space="preserve">” Document of Joint Collaborative Team on Video Coding, </w:t>
      </w:r>
      <w:r w:rsidRPr="004C1A55">
        <w:rPr>
          <w:lang w:eastAsia="zh-TW"/>
        </w:rPr>
        <w:t>JCTVC-</w:t>
      </w:r>
      <w:r>
        <w:rPr>
          <w:lang w:eastAsia="zh-TW"/>
        </w:rPr>
        <w:t>B121, July 2010.</w:t>
      </w:r>
    </w:p>
    <w:p w:rsidR="00E575C5" w:rsidRDefault="00E575C5" w:rsidP="00E575C5">
      <w:pPr>
        <w:numPr>
          <w:ilvl w:val="0"/>
          <w:numId w:val="11"/>
        </w:numPr>
        <w:tabs>
          <w:tab w:val="clear" w:pos="360"/>
          <w:tab w:val="clear" w:pos="720"/>
          <w:tab w:val="clear" w:pos="1080"/>
          <w:tab w:val="clear" w:pos="1440"/>
          <w:tab w:val="num" w:pos="540"/>
        </w:tabs>
        <w:spacing w:before="0"/>
        <w:ind w:left="540" w:hanging="180"/>
        <w:jc w:val="both"/>
        <w:rPr>
          <w:lang w:eastAsia="zh-TW"/>
        </w:rPr>
      </w:pPr>
      <w:bookmarkStart w:id="0" w:name="_Ref282518831"/>
      <w:bookmarkStart w:id="1" w:name="_Ref281323694"/>
      <w:r w:rsidRPr="00B13651">
        <w:rPr>
          <w:szCs w:val="22"/>
        </w:rPr>
        <w:t>Ye-</w:t>
      </w:r>
      <w:proofErr w:type="spellStart"/>
      <w:r w:rsidRPr="00B13651">
        <w:rPr>
          <w:szCs w:val="22"/>
        </w:rPr>
        <w:t>Kui</w:t>
      </w:r>
      <w:proofErr w:type="spellEnd"/>
      <w:r w:rsidRPr="00B13651">
        <w:rPr>
          <w:szCs w:val="22"/>
        </w:rPr>
        <w:t xml:space="preserve"> Wang</w:t>
      </w:r>
      <w:r>
        <w:rPr>
          <w:lang w:eastAsia="zh-TW"/>
        </w:rPr>
        <w:t>, “</w:t>
      </w:r>
      <w:r w:rsidRPr="00B13651">
        <w:rPr>
          <w:szCs w:val="22"/>
        </w:rPr>
        <w:t>Reuse of AVC SEI messages</w:t>
      </w:r>
      <w:r>
        <w:rPr>
          <w:lang w:eastAsia="zh-TW"/>
        </w:rPr>
        <w:t xml:space="preserve">” Document of Joint Collaborative Team on Video Coding, </w:t>
      </w:r>
      <w:r w:rsidRPr="004C1A55">
        <w:rPr>
          <w:lang w:eastAsia="zh-TW"/>
        </w:rPr>
        <w:t>JCTVC-</w:t>
      </w:r>
      <w:r>
        <w:rPr>
          <w:lang w:eastAsia="zh-TW"/>
        </w:rPr>
        <w:t>E346, March 2011.</w:t>
      </w:r>
      <w:bookmarkEnd w:id="0"/>
    </w:p>
    <w:bookmarkEnd w:id="1"/>
    <w:p w:rsidR="00B13651" w:rsidRPr="001269E5" w:rsidRDefault="00B13651" w:rsidP="00E575C5">
      <w:pPr>
        <w:tabs>
          <w:tab w:val="clear" w:pos="360"/>
          <w:tab w:val="clear" w:pos="720"/>
          <w:tab w:val="clear" w:pos="1080"/>
          <w:tab w:val="clear" w:pos="1440"/>
        </w:tabs>
        <w:spacing w:before="0"/>
        <w:ind w:left="540"/>
        <w:jc w:val="both"/>
        <w:rPr>
          <w:lang w:eastAsia="zh-TW"/>
        </w:rPr>
      </w:pPr>
    </w:p>
    <w:p w:rsidR="00B13651" w:rsidRPr="009234A5" w:rsidRDefault="00B13651" w:rsidP="009234A5">
      <w:pPr>
        <w:jc w:val="both"/>
        <w:rPr>
          <w:szCs w:val="22"/>
        </w:rPr>
      </w:pPr>
    </w:p>
    <w:sectPr w:rsidR="00B13651" w:rsidRPr="009234A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737" w:rsidRDefault="00806737">
      <w:r>
        <w:separator/>
      </w:r>
    </w:p>
  </w:endnote>
  <w:endnote w:type="continuationSeparator" w:id="0">
    <w:p w:rsidR="00806737" w:rsidRDefault="008067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58A" w:rsidRDefault="0009358A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86E8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86E8D">
      <w:rPr>
        <w:rStyle w:val="PageNumber"/>
      </w:rPr>
      <w:fldChar w:fldCharType="separate"/>
    </w:r>
    <w:r w:rsidR="00BF70A0">
      <w:rPr>
        <w:rStyle w:val="PageNumber"/>
        <w:noProof/>
      </w:rPr>
      <w:t>2</w:t>
    </w:r>
    <w:r w:rsidR="00586E8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586E8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586E8D">
      <w:rPr>
        <w:rStyle w:val="PageNumber"/>
      </w:rPr>
      <w:fldChar w:fldCharType="separate"/>
    </w:r>
    <w:r w:rsidR="00BF70A0">
      <w:rPr>
        <w:rStyle w:val="PageNumber"/>
        <w:noProof/>
      </w:rPr>
      <w:t>2011-07-01</w:t>
    </w:r>
    <w:r w:rsidR="00586E8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737" w:rsidRDefault="00806737">
      <w:r>
        <w:separator/>
      </w:r>
    </w:p>
  </w:footnote>
  <w:footnote w:type="continuationSeparator" w:id="0">
    <w:p w:rsidR="00806737" w:rsidRDefault="008067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49671C"/>
    <w:multiLevelType w:val="hybridMultilevel"/>
    <w:tmpl w:val="BE0C44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B70A5"/>
    <w:multiLevelType w:val="hybridMultilevel"/>
    <w:tmpl w:val="766205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C157F"/>
    <w:multiLevelType w:val="hybridMultilevel"/>
    <w:tmpl w:val="A8648B98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AE5B2F"/>
    <w:multiLevelType w:val="hybridMultilevel"/>
    <w:tmpl w:val="BF9A0E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2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06BA"/>
    <w:rsid w:val="000021A7"/>
    <w:rsid w:val="000458BC"/>
    <w:rsid w:val="00045C41"/>
    <w:rsid w:val="00046C03"/>
    <w:rsid w:val="00057F2B"/>
    <w:rsid w:val="0007614F"/>
    <w:rsid w:val="0009358A"/>
    <w:rsid w:val="000A77E4"/>
    <w:rsid w:val="000B1C6B"/>
    <w:rsid w:val="000C09AC"/>
    <w:rsid w:val="000D0433"/>
    <w:rsid w:val="000E00F3"/>
    <w:rsid w:val="000E7670"/>
    <w:rsid w:val="000F158C"/>
    <w:rsid w:val="000F54EE"/>
    <w:rsid w:val="00102F3D"/>
    <w:rsid w:val="00124E38"/>
    <w:rsid w:val="0012580B"/>
    <w:rsid w:val="001269E5"/>
    <w:rsid w:val="0013526E"/>
    <w:rsid w:val="0014384C"/>
    <w:rsid w:val="001527C4"/>
    <w:rsid w:val="00155DB1"/>
    <w:rsid w:val="00171371"/>
    <w:rsid w:val="00175A24"/>
    <w:rsid w:val="00187E58"/>
    <w:rsid w:val="001933B1"/>
    <w:rsid w:val="001A1229"/>
    <w:rsid w:val="001A297E"/>
    <w:rsid w:val="001A368E"/>
    <w:rsid w:val="001A7329"/>
    <w:rsid w:val="001B4E28"/>
    <w:rsid w:val="001C3525"/>
    <w:rsid w:val="001C4992"/>
    <w:rsid w:val="001D1BD2"/>
    <w:rsid w:val="001E02BE"/>
    <w:rsid w:val="001E3B37"/>
    <w:rsid w:val="001F13DC"/>
    <w:rsid w:val="001F2594"/>
    <w:rsid w:val="00200B3A"/>
    <w:rsid w:val="002055A6"/>
    <w:rsid w:val="00206460"/>
    <w:rsid w:val="002069B4"/>
    <w:rsid w:val="00215DFC"/>
    <w:rsid w:val="002212DF"/>
    <w:rsid w:val="00227BA7"/>
    <w:rsid w:val="00263398"/>
    <w:rsid w:val="00275BCF"/>
    <w:rsid w:val="002913DE"/>
    <w:rsid w:val="00292257"/>
    <w:rsid w:val="002A54E0"/>
    <w:rsid w:val="002B1595"/>
    <w:rsid w:val="002B191D"/>
    <w:rsid w:val="002D0AF6"/>
    <w:rsid w:val="002D1DC6"/>
    <w:rsid w:val="002E3097"/>
    <w:rsid w:val="002E7458"/>
    <w:rsid w:val="002F164D"/>
    <w:rsid w:val="002F3858"/>
    <w:rsid w:val="00306206"/>
    <w:rsid w:val="00317D85"/>
    <w:rsid w:val="00327C56"/>
    <w:rsid w:val="00327FE7"/>
    <w:rsid w:val="003315A1"/>
    <w:rsid w:val="003373EC"/>
    <w:rsid w:val="00342C6D"/>
    <w:rsid w:val="003706CC"/>
    <w:rsid w:val="003A236A"/>
    <w:rsid w:val="003A2D8E"/>
    <w:rsid w:val="003A3F71"/>
    <w:rsid w:val="003B5300"/>
    <w:rsid w:val="003B6DCC"/>
    <w:rsid w:val="003C20E4"/>
    <w:rsid w:val="003D386C"/>
    <w:rsid w:val="003E3095"/>
    <w:rsid w:val="003E6F90"/>
    <w:rsid w:val="003F5D0F"/>
    <w:rsid w:val="00414101"/>
    <w:rsid w:val="00433DDB"/>
    <w:rsid w:val="00437619"/>
    <w:rsid w:val="004417FD"/>
    <w:rsid w:val="0046180A"/>
    <w:rsid w:val="004A2A63"/>
    <w:rsid w:val="004B210C"/>
    <w:rsid w:val="004B2A46"/>
    <w:rsid w:val="004D405F"/>
    <w:rsid w:val="004E4F4F"/>
    <w:rsid w:val="004E6789"/>
    <w:rsid w:val="004F61E3"/>
    <w:rsid w:val="004F7C87"/>
    <w:rsid w:val="0051015C"/>
    <w:rsid w:val="0051210D"/>
    <w:rsid w:val="00516CF1"/>
    <w:rsid w:val="00531AE9"/>
    <w:rsid w:val="00564E78"/>
    <w:rsid w:val="00567EC7"/>
    <w:rsid w:val="00570013"/>
    <w:rsid w:val="00586E8D"/>
    <w:rsid w:val="005A33A1"/>
    <w:rsid w:val="005C385F"/>
    <w:rsid w:val="005F6F1B"/>
    <w:rsid w:val="006042E9"/>
    <w:rsid w:val="0062477C"/>
    <w:rsid w:val="00624B33"/>
    <w:rsid w:val="00630AA2"/>
    <w:rsid w:val="00646707"/>
    <w:rsid w:val="00662E58"/>
    <w:rsid w:val="00664DCF"/>
    <w:rsid w:val="006840B2"/>
    <w:rsid w:val="00684241"/>
    <w:rsid w:val="006927FB"/>
    <w:rsid w:val="00692864"/>
    <w:rsid w:val="006C5D39"/>
    <w:rsid w:val="006D2FDA"/>
    <w:rsid w:val="006D428A"/>
    <w:rsid w:val="006E2810"/>
    <w:rsid w:val="006E2FAA"/>
    <w:rsid w:val="006E5417"/>
    <w:rsid w:val="006E79E7"/>
    <w:rsid w:val="007034AA"/>
    <w:rsid w:val="00712F60"/>
    <w:rsid w:val="00720E3B"/>
    <w:rsid w:val="00723200"/>
    <w:rsid w:val="00745F6B"/>
    <w:rsid w:val="0075585E"/>
    <w:rsid w:val="00770571"/>
    <w:rsid w:val="007768FF"/>
    <w:rsid w:val="007824D3"/>
    <w:rsid w:val="00796EE3"/>
    <w:rsid w:val="007A7D29"/>
    <w:rsid w:val="007B4AB8"/>
    <w:rsid w:val="007E58C8"/>
    <w:rsid w:val="007F1F8B"/>
    <w:rsid w:val="007F67A1"/>
    <w:rsid w:val="00806737"/>
    <w:rsid w:val="008206C8"/>
    <w:rsid w:val="00825598"/>
    <w:rsid w:val="008340ED"/>
    <w:rsid w:val="008346AC"/>
    <w:rsid w:val="00841B1D"/>
    <w:rsid w:val="00844F0F"/>
    <w:rsid w:val="008738B4"/>
    <w:rsid w:val="00874A6C"/>
    <w:rsid w:val="00876C65"/>
    <w:rsid w:val="00890101"/>
    <w:rsid w:val="008A4B4C"/>
    <w:rsid w:val="008C239F"/>
    <w:rsid w:val="008D6A9A"/>
    <w:rsid w:val="008E480C"/>
    <w:rsid w:val="008E582D"/>
    <w:rsid w:val="00907757"/>
    <w:rsid w:val="00912C20"/>
    <w:rsid w:val="00915A80"/>
    <w:rsid w:val="009212B0"/>
    <w:rsid w:val="009234A5"/>
    <w:rsid w:val="0092426E"/>
    <w:rsid w:val="009336F7"/>
    <w:rsid w:val="009374A7"/>
    <w:rsid w:val="0095051B"/>
    <w:rsid w:val="0098551D"/>
    <w:rsid w:val="0099518F"/>
    <w:rsid w:val="009A523D"/>
    <w:rsid w:val="009B2480"/>
    <w:rsid w:val="009C6D0B"/>
    <w:rsid w:val="009D7E69"/>
    <w:rsid w:val="009E23DE"/>
    <w:rsid w:val="009F496B"/>
    <w:rsid w:val="009F4EAE"/>
    <w:rsid w:val="00A01439"/>
    <w:rsid w:val="00A02E61"/>
    <w:rsid w:val="00A05CFF"/>
    <w:rsid w:val="00A54563"/>
    <w:rsid w:val="00A56B97"/>
    <w:rsid w:val="00A6004E"/>
    <w:rsid w:val="00A6093D"/>
    <w:rsid w:val="00A76A6D"/>
    <w:rsid w:val="00A80DF5"/>
    <w:rsid w:val="00A829F9"/>
    <w:rsid w:val="00A83253"/>
    <w:rsid w:val="00A96F59"/>
    <w:rsid w:val="00AA274F"/>
    <w:rsid w:val="00AA6E84"/>
    <w:rsid w:val="00AB253D"/>
    <w:rsid w:val="00AE341B"/>
    <w:rsid w:val="00B07CA7"/>
    <w:rsid w:val="00B1279A"/>
    <w:rsid w:val="00B13651"/>
    <w:rsid w:val="00B21297"/>
    <w:rsid w:val="00B35DC4"/>
    <w:rsid w:val="00B5222E"/>
    <w:rsid w:val="00B55965"/>
    <w:rsid w:val="00B61C96"/>
    <w:rsid w:val="00B624F6"/>
    <w:rsid w:val="00B73A2A"/>
    <w:rsid w:val="00B82D5B"/>
    <w:rsid w:val="00B94B06"/>
    <w:rsid w:val="00B94C28"/>
    <w:rsid w:val="00BC10BA"/>
    <w:rsid w:val="00BC5AFD"/>
    <w:rsid w:val="00BD5BE0"/>
    <w:rsid w:val="00BF70A0"/>
    <w:rsid w:val="00C04F43"/>
    <w:rsid w:val="00C0609D"/>
    <w:rsid w:val="00C115AB"/>
    <w:rsid w:val="00C247BE"/>
    <w:rsid w:val="00C30249"/>
    <w:rsid w:val="00C3723B"/>
    <w:rsid w:val="00C606C9"/>
    <w:rsid w:val="00C62646"/>
    <w:rsid w:val="00C64C69"/>
    <w:rsid w:val="00C81046"/>
    <w:rsid w:val="00C8446C"/>
    <w:rsid w:val="00C90650"/>
    <w:rsid w:val="00C97D78"/>
    <w:rsid w:val="00CA29D6"/>
    <w:rsid w:val="00CA5E21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6566B"/>
    <w:rsid w:val="00D75B43"/>
    <w:rsid w:val="00D807BF"/>
    <w:rsid w:val="00DA7887"/>
    <w:rsid w:val="00DB2C26"/>
    <w:rsid w:val="00DB3335"/>
    <w:rsid w:val="00DB5D99"/>
    <w:rsid w:val="00DC1DCB"/>
    <w:rsid w:val="00DE6B43"/>
    <w:rsid w:val="00E11923"/>
    <w:rsid w:val="00E262D4"/>
    <w:rsid w:val="00E36250"/>
    <w:rsid w:val="00E54511"/>
    <w:rsid w:val="00E575C5"/>
    <w:rsid w:val="00E61DAC"/>
    <w:rsid w:val="00E64A72"/>
    <w:rsid w:val="00E75FE3"/>
    <w:rsid w:val="00E978FD"/>
    <w:rsid w:val="00EB7AB1"/>
    <w:rsid w:val="00ED26A3"/>
    <w:rsid w:val="00EF48CC"/>
    <w:rsid w:val="00F23EA0"/>
    <w:rsid w:val="00F264FB"/>
    <w:rsid w:val="00F363B3"/>
    <w:rsid w:val="00F50A86"/>
    <w:rsid w:val="00F54A9B"/>
    <w:rsid w:val="00F7187C"/>
    <w:rsid w:val="00F73032"/>
    <w:rsid w:val="00F848FC"/>
    <w:rsid w:val="00F9282A"/>
    <w:rsid w:val="00F96BAD"/>
    <w:rsid w:val="00FB0E84"/>
    <w:rsid w:val="00FC4041"/>
    <w:rsid w:val="00FD01C2"/>
    <w:rsid w:val="00FD153C"/>
    <w:rsid w:val="00FD1E03"/>
    <w:rsid w:val="00FE60D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40E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40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340ED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6927FB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6927FB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927FB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  <w:style w:type="character" w:customStyle="1" w:styleId="tablesyntaxChar">
    <w:name w:val="table syntax Char"/>
    <w:basedOn w:val="DefaultParagraphFont"/>
    <w:link w:val="tablesyntax"/>
    <w:rsid w:val="006927FB"/>
    <w:rPr>
      <w:rFonts w:eastAsia="Times New Roman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2E309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E3097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eruhikos@jp.sony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li.Tabatabai@am.sony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unsi.Haque@am.son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B383-F96A-4800-BB53-ABB2C7E7C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938</Words>
  <Characters>5351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6277</CharactersWithSpaces>
  <SharedDoc>false</SharedDoc>
  <HLinks>
    <vt:vector size="18" baseType="variant">
      <vt:variant>
        <vt:i4>4718640</vt:i4>
      </vt:variant>
      <vt:variant>
        <vt:i4>6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5505145</vt:i4>
      </vt:variant>
      <vt:variant>
        <vt:i4>3</vt:i4>
      </vt:variant>
      <vt:variant>
        <vt:i4>0</vt:i4>
      </vt:variant>
      <vt:variant>
        <vt:i4>5</vt:i4>
      </vt:variant>
      <vt:variant>
        <vt:lpwstr>mailto:Ali.Tabatabai@am.sony.com</vt:lpwstr>
      </vt:variant>
      <vt:variant>
        <vt:lpwstr/>
      </vt:variant>
      <vt:variant>
        <vt:i4>2293767</vt:i4>
      </vt:variant>
      <vt:variant>
        <vt:i4>0</vt:i4>
      </vt:variant>
      <vt:variant>
        <vt:i4>0</vt:i4>
      </vt:variant>
      <vt:variant>
        <vt:i4>5</vt:i4>
      </vt:variant>
      <vt:variant>
        <vt:lpwstr>mailto:Munsi.Haque@am.sony.com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Munsi Haque</cp:lastModifiedBy>
  <cp:revision>8</cp:revision>
  <cp:lastPrinted>2011-07-01T18:50:00Z</cp:lastPrinted>
  <dcterms:created xsi:type="dcterms:W3CDTF">2011-07-01T19:19:00Z</dcterms:created>
  <dcterms:modified xsi:type="dcterms:W3CDTF">2011-07-02T00:34:00Z</dcterms:modified>
</cp:coreProperties>
</file>