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FB3734"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62B76">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362B76">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257551" w:rsidP="00B0060F">
            <w:pPr>
              <w:tabs>
                <w:tab w:val="left" w:pos="7200"/>
              </w:tabs>
              <w:spacing w:before="0"/>
              <w:rPr>
                <w:b/>
                <w:szCs w:val="22"/>
              </w:rPr>
            </w:pPr>
            <w:r>
              <w:rPr>
                <w:szCs w:val="22"/>
              </w:rPr>
              <w:t>5</w:t>
            </w:r>
            <w:r w:rsidR="00B0060F">
              <w:rPr>
                <w:szCs w:val="22"/>
              </w:rPr>
              <w:t>th</w:t>
            </w:r>
            <w:r w:rsidR="00E61DAC" w:rsidRPr="00AE341B">
              <w:rPr>
                <w:szCs w:val="22"/>
              </w:rPr>
              <w:t xml:space="preserve"> Meeting: </w:t>
            </w:r>
            <w:r>
              <w:rPr>
                <w:szCs w:val="22"/>
              </w:rPr>
              <w:t>Geneva</w:t>
            </w:r>
            <w:r w:rsidR="003F5D0F" w:rsidRPr="00AE341B">
              <w:rPr>
                <w:szCs w:val="22"/>
              </w:rPr>
              <w:t xml:space="preserve">, </w:t>
            </w:r>
            <w:r w:rsidR="00B30081">
              <w:rPr>
                <w:szCs w:val="22"/>
              </w:rPr>
              <w:t>16</w:t>
            </w:r>
            <w:r w:rsidR="00171371" w:rsidRPr="00AE341B">
              <w:rPr>
                <w:szCs w:val="22"/>
              </w:rPr>
              <w:t>-</w:t>
            </w:r>
            <w:r w:rsidR="0045556C">
              <w:rPr>
                <w:szCs w:val="22"/>
              </w:rPr>
              <w:t>2</w:t>
            </w:r>
            <w:r w:rsidR="00B0060F">
              <w:rPr>
                <w:szCs w:val="22"/>
              </w:rPr>
              <w:t>3</w:t>
            </w:r>
            <w:r w:rsidR="001C3525" w:rsidRPr="00AE341B">
              <w:rPr>
                <w:szCs w:val="22"/>
              </w:rPr>
              <w:t xml:space="preserve"> </w:t>
            </w:r>
            <w:r w:rsidR="00B30081">
              <w:rPr>
                <w:szCs w:val="22"/>
              </w:rPr>
              <w:t>March</w:t>
            </w:r>
            <w:r w:rsidR="00E61DAC" w:rsidRPr="00AE341B">
              <w:rPr>
                <w:szCs w:val="22"/>
              </w:rPr>
              <w:t>, 20</w:t>
            </w:r>
            <w:r w:rsidR="007F1F8B" w:rsidRPr="00AE341B">
              <w:rPr>
                <w:szCs w:val="22"/>
              </w:rPr>
              <w:t>1</w:t>
            </w:r>
            <w:r w:rsidR="00335705">
              <w:rPr>
                <w:szCs w:val="22"/>
              </w:rPr>
              <w:t>1</w:t>
            </w:r>
          </w:p>
        </w:tc>
        <w:tc>
          <w:tcPr>
            <w:tcW w:w="3168" w:type="dxa"/>
          </w:tcPr>
          <w:p w:rsidR="003315A1" w:rsidRDefault="00E61DAC" w:rsidP="00DB2C26">
            <w:pPr>
              <w:tabs>
                <w:tab w:val="left" w:pos="7200"/>
              </w:tabs>
              <w:rPr>
                <w:u w:val="single"/>
              </w:rPr>
            </w:pPr>
            <w:r w:rsidRPr="00AE341B">
              <w:t>Document</w:t>
            </w:r>
            <w:r w:rsidR="006C5D39" w:rsidRPr="00AE341B">
              <w:t>: JC</w:t>
            </w:r>
            <w:r w:rsidRPr="00AE341B">
              <w:t>T</w:t>
            </w:r>
            <w:r w:rsidR="006C5D39" w:rsidRPr="00AE341B">
              <w:t>VC</w:t>
            </w:r>
            <w:r w:rsidRPr="00AE341B">
              <w:t>-</w:t>
            </w:r>
            <w:r w:rsidR="007A0432">
              <w:t>E</w:t>
            </w:r>
            <w:r w:rsidR="00A6624F">
              <w:t>377</w:t>
            </w:r>
          </w:p>
          <w:p w:rsidR="008A4B4C" w:rsidRPr="00AE341B" w:rsidRDefault="008A4B4C" w:rsidP="00F86BDB">
            <w:pPr>
              <w:tabs>
                <w:tab w:val="left" w:pos="7200"/>
              </w:tabs>
            </w:pPr>
          </w:p>
        </w:tc>
      </w:tr>
    </w:tbl>
    <w:p w:rsidR="00E61DAC" w:rsidRPr="00AE341B" w:rsidRDefault="00E61DAC" w:rsidP="00531AE9">
      <w:pPr>
        <w:spacing w:before="0"/>
      </w:pPr>
    </w:p>
    <w:tbl>
      <w:tblPr>
        <w:tblW w:w="9747" w:type="dxa"/>
        <w:tblLayout w:type="fixed"/>
        <w:tblLook w:val="0000"/>
      </w:tblPr>
      <w:tblGrid>
        <w:gridCol w:w="1458"/>
        <w:gridCol w:w="4050"/>
        <w:gridCol w:w="900"/>
        <w:gridCol w:w="3339"/>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289" w:type="dxa"/>
            <w:gridSpan w:val="3"/>
          </w:tcPr>
          <w:p w:rsidR="00E61DAC" w:rsidRPr="00AE341B" w:rsidRDefault="00AF7710" w:rsidP="00AF7710">
            <w:pPr>
              <w:spacing w:before="60" w:after="60"/>
              <w:rPr>
                <w:b/>
                <w:szCs w:val="22"/>
              </w:rPr>
            </w:pPr>
            <w:r>
              <w:rPr>
                <w:b/>
                <w:szCs w:val="22"/>
              </w:rPr>
              <w:t xml:space="preserve">Limiting Chroma Transform Depth in </w:t>
            </w:r>
            <w:r w:rsidR="000A2ADA">
              <w:rPr>
                <w:b/>
                <w:szCs w:val="22"/>
              </w:rPr>
              <w:t>Residue Quad Tree (</w:t>
            </w:r>
            <w:r w:rsidR="00D54A42">
              <w:rPr>
                <w:b/>
                <w:szCs w:val="22"/>
              </w:rPr>
              <w:t>RQT</w:t>
            </w:r>
            <w:r w:rsidR="000A2ADA">
              <w:rPr>
                <w:b/>
                <w:szCs w:val="22"/>
              </w:rPr>
              <w:t>)</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289" w:type="dxa"/>
            <w:gridSpan w:val="3"/>
          </w:tcPr>
          <w:p w:rsidR="00E61DAC" w:rsidRPr="00AE341B" w:rsidRDefault="00E215EE" w:rsidP="00E215EE">
            <w:pPr>
              <w:spacing w:before="60" w:after="60"/>
              <w:rPr>
                <w:szCs w:val="22"/>
              </w:rPr>
            </w:pPr>
            <w:r w:rsidRPr="00AE341B">
              <w:rPr>
                <w:szCs w:val="22"/>
              </w:rPr>
              <w:t xml:space="preserve">Input Document to </w:t>
            </w:r>
            <w:r>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289" w:type="dxa"/>
            <w:gridSpan w:val="3"/>
          </w:tcPr>
          <w:p w:rsidR="00E61DAC" w:rsidRPr="00AE341B" w:rsidRDefault="00B341FC" w:rsidP="00E215EE">
            <w:pPr>
              <w:spacing w:before="60" w:after="60"/>
              <w:rPr>
                <w:szCs w:val="22"/>
              </w:rPr>
            </w:pPr>
            <w:r>
              <w:rPr>
                <w:szCs w:val="22"/>
              </w:rPr>
              <w:t>Proposal</w:t>
            </w:r>
          </w:p>
        </w:tc>
      </w:tr>
      <w:tr w:rsidR="00F86BDB" w:rsidRPr="00AE341B">
        <w:tc>
          <w:tcPr>
            <w:tcW w:w="1458" w:type="dxa"/>
          </w:tcPr>
          <w:p w:rsidR="00F86BDB" w:rsidRPr="00AE341B" w:rsidRDefault="00F86BDB">
            <w:pPr>
              <w:spacing w:before="60" w:after="60"/>
              <w:rPr>
                <w:i/>
                <w:szCs w:val="22"/>
              </w:rPr>
            </w:pPr>
            <w:r w:rsidRPr="00AE341B">
              <w:rPr>
                <w:i/>
                <w:szCs w:val="22"/>
              </w:rPr>
              <w:t>Author(s) or</w:t>
            </w:r>
            <w:r w:rsidRPr="00AE341B">
              <w:rPr>
                <w:i/>
                <w:szCs w:val="22"/>
              </w:rPr>
              <w:br/>
              <w:t>Contact(s):</w:t>
            </w:r>
          </w:p>
        </w:tc>
        <w:tc>
          <w:tcPr>
            <w:tcW w:w="4050" w:type="dxa"/>
          </w:tcPr>
          <w:p w:rsidR="00F86BDB" w:rsidRDefault="00F86BDB" w:rsidP="00BE0447">
            <w:pPr>
              <w:spacing w:before="60" w:after="60"/>
              <w:rPr>
                <w:szCs w:val="22"/>
              </w:rPr>
            </w:pPr>
            <w:r>
              <w:rPr>
                <w:szCs w:val="22"/>
              </w:rPr>
              <w:t xml:space="preserve">Liwei Guo, </w:t>
            </w:r>
          </w:p>
          <w:p w:rsidR="00F43AED" w:rsidRDefault="00F43AED" w:rsidP="00BE0447">
            <w:pPr>
              <w:spacing w:before="60" w:after="60"/>
              <w:rPr>
                <w:szCs w:val="22"/>
              </w:rPr>
            </w:pPr>
            <w:r>
              <w:rPr>
                <w:szCs w:val="22"/>
              </w:rPr>
              <w:t>Xianglin Wang</w:t>
            </w:r>
          </w:p>
          <w:p w:rsidR="00E34784" w:rsidRDefault="00F86BDB" w:rsidP="00BE0447">
            <w:pPr>
              <w:spacing w:before="60" w:after="60"/>
              <w:rPr>
                <w:szCs w:val="22"/>
              </w:rPr>
            </w:pPr>
            <w:r>
              <w:rPr>
                <w:szCs w:val="22"/>
              </w:rPr>
              <w:t>Peisong Chen</w:t>
            </w:r>
          </w:p>
          <w:p w:rsidR="00F86BDB" w:rsidRDefault="00E34784" w:rsidP="00BE0447">
            <w:pPr>
              <w:spacing w:before="60" w:after="60"/>
              <w:rPr>
                <w:szCs w:val="22"/>
              </w:rPr>
            </w:pPr>
            <w:r>
              <w:rPr>
                <w:szCs w:val="22"/>
              </w:rPr>
              <w:t>Ying Chen</w:t>
            </w:r>
            <w:r w:rsidR="00F86BDB">
              <w:rPr>
                <w:szCs w:val="22"/>
              </w:rPr>
              <w:t xml:space="preserve"> </w:t>
            </w:r>
          </w:p>
          <w:p w:rsidR="00F86BDB" w:rsidRPr="00AE341B" w:rsidRDefault="00F86BDB" w:rsidP="00BE0447">
            <w:pPr>
              <w:spacing w:before="60" w:after="60"/>
              <w:rPr>
                <w:szCs w:val="22"/>
              </w:rPr>
            </w:pPr>
            <w:r>
              <w:rPr>
                <w:szCs w:val="22"/>
              </w:rPr>
              <w:t>Marta Karczewicz</w:t>
            </w:r>
            <w:r w:rsidRPr="00AE341B">
              <w:rPr>
                <w:szCs w:val="22"/>
              </w:rPr>
              <w:br/>
            </w:r>
            <w:r>
              <w:rPr>
                <w:szCs w:val="22"/>
              </w:rPr>
              <w:t>5775 Morehouse Drive</w:t>
            </w:r>
            <w:r w:rsidRPr="00AE341B">
              <w:rPr>
                <w:szCs w:val="22"/>
              </w:rPr>
              <w:br/>
            </w:r>
            <w:r>
              <w:rPr>
                <w:szCs w:val="22"/>
              </w:rPr>
              <w:t>San Diego, CA 92121</w:t>
            </w:r>
            <w:r w:rsidRPr="00AE341B">
              <w:rPr>
                <w:szCs w:val="22"/>
              </w:rPr>
              <w:br/>
            </w:r>
            <w:r>
              <w:rPr>
                <w:szCs w:val="22"/>
              </w:rPr>
              <w:t>USA</w:t>
            </w:r>
          </w:p>
        </w:tc>
        <w:tc>
          <w:tcPr>
            <w:tcW w:w="900" w:type="dxa"/>
          </w:tcPr>
          <w:p w:rsidR="00F86BDB" w:rsidRPr="00AE341B" w:rsidRDefault="00F86BDB">
            <w:pPr>
              <w:spacing w:before="60" w:after="60"/>
              <w:rPr>
                <w:szCs w:val="22"/>
              </w:rPr>
            </w:pPr>
            <w:r w:rsidRPr="007A0432">
              <w:rPr>
                <w:szCs w:val="22"/>
                <w:lang w:val="fr-FR"/>
              </w:rPr>
              <w:br/>
            </w:r>
            <w:r w:rsidRPr="00AE341B">
              <w:rPr>
                <w:szCs w:val="22"/>
              </w:rPr>
              <w:t>Tel:</w:t>
            </w:r>
            <w:r w:rsidRPr="00AE341B">
              <w:rPr>
                <w:szCs w:val="22"/>
              </w:rPr>
              <w:br/>
              <w:t>Email:</w:t>
            </w:r>
          </w:p>
        </w:tc>
        <w:tc>
          <w:tcPr>
            <w:tcW w:w="3339" w:type="dxa"/>
          </w:tcPr>
          <w:p w:rsidR="00F86BDB" w:rsidRPr="00AE341B" w:rsidRDefault="00F86BDB" w:rsidP="00BE0447">
            <w:pPr>
              <w:spacing w:before="60" w:after="60"/>
              <w:rPr>
                <w:szCs w:val="22"/>
              </w:rPr>
            </w:pPr>
            <w:r w:rsidRPr="00AE341B">
              <w:rPr>
                <w:szCs w:val="22"/>
              </w:rPr>
              <w:br/>
            </w:r>
            <w:r>
              <w:rPr>
                <w:szCs w:val="22"/>
              </w:rPr>
              <w:t>1-858-651-8125</w:t>
            </w:r>
            <w:r w:rsidRPr="00AE341B">
              <w:rPr>
                <w:szCs w:val="22"/>
              </w:rPr>
              <w:br/>
            </w:r>
            <w:hyperlink r:id="rId10" w:history="1">
              <w:r w:rsidRPr="00F86BDB">
                <w:rPr>
                  <w:rStyle w:val="Hyperlink"/>
                  <w:szCs w:val="22"/>
                </w:rPr>
                <w:t>liweig@qualcomm.com</w:t>
              </w:r>
            </w:hyperlink>
          </w:p>
        </w:tc>
      </w:tr>
      <w:tr w:rsidR="00F86BDB" w:rsidRPr="00485847">
        <w:tc>
          <w:tcPr>
            <w:tcW w:w="1458" w:type="dxa"/>
          </w:tcPr>
          <w:p w:rsidR="00F86BDB" w:rsidRPr="00AE341B" w:rsidRDefault="00F86BDB">
            <w:pPr>
              <w:spacing w:before="60" w:after="60"/>
              <w:rPr>
                <w:i/>
                <w:szCs w:val="22"/>
              </w:rPr>
            </w:pPr>
            <w:r w:rsidRPr="00AE341B">
              <w:rPr>
                <w:i/>
                <w:szCs w:val="22"/>
              </w:rPr>
              <w:t>Source:</w:t>
            </w:r>
          </w:p>
        </w:tc>
        <w:tc>
          <w:tcPr>
            <w:tcW w:w="8289" w:type="dxa"/>
            <w:gridSpan w:val="3"/>
          </w:tcPr>
          <w:p w:rsidR="00F86BDB" w:rsidRPr="00485847" w:rsidRDefault="00F86BDB" w:rsidP="00B341FC">
            <w:pPr>
              <w:spacing w:before="60" w:after="60"/>
              <w:rPr>
                <w:szCs w:val="22"/>
                <w:lang w:val="fr-FR"/>
              </w:rPr>
            </w:pPr>
            <w:r>
              <w:rPr>
                <w:szCs w:val="22"/>
              </w:rPr>
              <w:t>Qualcomm Incorporated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4E11BA" w:rsidRDefault="00911EDA" w:rsidP="003F2B66">
      <w:pPr>
        <w:jc w:val="both"/>
      </w:pPr>
      <w:r>
        <w:t xml:space="preserve">In Daegu meeting, it is reported (JCTVC-D060) that some loss of chroma coding performance can be observed with Residue Quad Tree (RQT). In this contribution, it is suggested that maximum chroma transform depth be limited relative to luma component, so that chroma </w:t>
      </w:r>
      <w:r w:rsidR="008B40EB">
        <w:t>component</w:t>
      </w:r>
      <w:r>
        <w:t xml:space="preserve"> does not have to share the same transform depth as luma. Simulation results show that by doing so an average BD-rate saving of roughly 1% can be obtained for U and V </w:t>
      </w:r>
      <w:r w:rsidR="008B40EB">
        <w:t>respectively</w:t>
      </w:r>
      <w:r>
        <w:t xml:space="preserve"> with no loss on luma, using all three HE </w:t>
      </w:r>
      <w:r w:rsidR="004E2C20">
        <w:t>test</w:t>
      </w:r>
      <w:r>
        <w:t xml:space="preserve"> configurations.</w:t>
      </w:r>
    </w:p>
    <w:p w:rsidR="002D7D8F" w:rsidRDefault="002D7D8F" w:rsidP="002D7D8F">
      <w:pPr>
        <w:pStyle w:val="Heading1"/>
        <w:tabs>
          <w:tab w:val="clear" w:pos="360"/>
          <w:tab w:val="clear" w:pos="720"/>
          <w:tab w:val="clear" w:pos="1080"/>
          <w:tab w:val="clear" w:pos="1440"/>
        </w:tabs>
      </w:pPr>
      <w:r>
        <w:t>Introduction</w:t>
      </w:r>
    </w:p>
    <w:p w:rsidR="004E11BA" w:rsidRDefault="00322486" w:rsidP="00E1283F">
      <w:pPr>
        <w:jc w:val="both"/>
      </w:pPr>
      <w:r>
        <w:t>In Daegu meeting, it is reported in JCTVC-D060 [1] that some loss of chroma components can be observed with RQT coding. One possible reason might be that with the current RQT structure, transform depth is shared between luma and chroma. Chroma components generally are much smoother than luma components, and applying high transform depth on chroma may hurt coding performance.</w:t>
      </w:r>
      <w:r w:rsidR="004E11BA">
        <w:t xml:space="preserve"> </w:t>
      </w:r>
    </w:p>
    <w:p w:rsidR="00E1283F" w:rsidRDefault="00C010E0" w:rsidP="00E1283F">
      <w:pPr>
        <w:pStyle w:val="Heading1"/>
      </w:pPr>
      <w:r>
        <w:t>Proposed solution</w:t>
      </w:r>
    </w:p>
    <w:p w:rsidR="00C31A1A" w:rsidRDefault="00C31A1A" w:rsidP="00C31A1A">
      <w:pPr>
        <w:jc w:val="both"/>
      </w:pPr>
      <w:r>
        <w:t xml:space="preserve">In this contribution, the maximum chroma transform depth is limited using </w:t>
      </w:r>
    </w:p>
    <w:p w:rsidR="00C31A1A" w:rsidRDefault="00C31A1A" w:rsidP="00C31A1A">
      <w:pPr>
        <w:jc w:val="both"/>
      </w:pPr>
      <w:r>
        <w:t xml:space="preserve">   MaxTUDepthUV = max (0, MaxTUDepthY</w:t>
      </w:r>
      <w:r w:rsidR="008B40EB">
        <w:t xml:space="preserve"> </w:t>
      </w:r>
      <w:r>
        <w:t>-</w:t>
      </w:r>
      <w:r w:rsidR="008B40EB">
        <w:t xml:space="preserve"> </w:t>
      </w:r>
      <w:r>
        <w:t xml:space="preserve">T) </w:t>
      </w:r>
    </w:p>
    <w:p w:rsidR="00C31A1A" w:rsidRDefault="00C31A1A" w:rsidP="00C31A1A">
      <w:pPr>
        <w:jc w:val="both"/>
      </w:pPr>
      <w:r>
        <w:t>where T is a user-defined parameter.</w:t>
      </w:r>
    </w:p>
    <w:p w:rsidR="006C4DF0" w:rsidRDefault="006C4DF0" w:rsidP="006C4DF0">
      <w:pPr>
        <w:pStyle w:val="Heading1"/>
        <w:tabs>
          <w:tab w:val="clear" w:pos="360"/>
          <w:tab w:val="clear" w:pos="720"/>
          <w:tab w:val="clear" w:pos="1080"/>
          <w:tab w:val="clear" w:pos="1440"/>
        </w:tabs>
      </w:pPr>
      <w:r>
        <w:t>Experimental results</w:t>
      </w:r>
    </w:p>
    <w:p w:rsidR="00C31A1A" w:rsidRDefault="00C31A1A" w:rsidP="00C31A1A">
      <w:pPr>
        <w:jc w:val="both"/>
        <w:rPr>
          <w:szCs w:val="22"/>
        </w:rPr>
      </w:pPr>
      <w:r>
        <w:rPr>
          <w:szCs w:val="22"/>
        </w:rPr>
        <w:t xml:space="preserve">Simulation is performed based on HM2.0, with </w:t>
      </w:r>
      <w:r w:rsidRPr="00785A32">
        <w:rPr>
          <w:b/>
          <w:szCs w:val="22"/>
        </w:rPr>
        <w:t>T</w:t>
      </w:r>
      <w:r>
        <w:rPr>
          <w:szCs w:val="22"/>
        </w:rPr>
        <w:t xml:space="preserve"> = 3, </w:t>
      </w:r>
      <w:r w:rsidR="00EF3831">
        <w:rPr>
          <w:szCs w:val="22"/>
        </w:rPr>
        <w:t>under</w:t>
      </w:r>
      <w:r>
        <w:rPr>
          <w:szCs w:val="22"/>
        </w:rPr>
        <w:t xml:space="preserve"> </w:t>
      </w:r>
      <w:r>
        <w:t xml:space="preserve">common test conditions specified in [2]. </w:t>
      </w:r>
    </w:p>
    <w:p w:rsidR="00C31A1A" w:rsidRDefault="00C31A1A" w:rsidP="00C31A1A">
      <w:pPr>
        <w:jc w:val="both"/>
      </w:pPr>
      <w:r>
        <w:t xml:space="preserve">Since with default coding configuration the maximum transform depth is no larger than 3, With </w:t>
      </w:r>
      <w:r w:rsidRPr="00785A32">
        <w:rPr>
          <w:b/>
        </w:rPr>
        <w:t>T</w:t>
      </w:r>
      <w:r>
        <w:t>=3, Max</w:t>
      </w:r>
      <w:r w:rsidR="008B40EB">
        <w:t>TU</w:t>
      </w:r>
      <w:r>
        <w:t xml:space="preserve">DepthUV is </w:t>
      </w:r>
      <w:r w:rsidR="008022F1">
        <w:t xml:space="preserve">equal to </w:t>
      </w:r>
      <w:r>
        <w:t xml:space="preserve">0 with all these </w:t>
      </w:r>
      <w:r w:rsidR="00CB704F">
        <w:t>test</w:t>
      </w:r>
      <w:r>
        <w:t xml:space="preserve"> configurations. In this case, For a CU of size 2Nx2N, the transform size of U and V is always NxN (</w:t>
      </w:r>
      <w:r w:rsidR="00FB3734">
        <w:fldChar w:fldCharType="begin"/>
      </w:r>
      <w:r>
        <w:instrText xml:space="preserve"> REF _Ref287467003 \h </w:instrText>
      </w:r>
      <w:r w:rsidR="00FB3734">
        <w:fldChar w:fldCharType="separate"/>
      </w:r>
      <w:r>
        <w:t xml:space="preserve">Table </w:t>
      </w:r>
      <w:r>
        <w:rPr>
          <w:noProof/>
        </w:rPr>
        <w:t>1</w:t>
      </w:r>
      <w:r w:rsidR="00FB3734">
        <w:fldChar w:fldCharType="end"/>
      </w:r>
      <w:r>
        <w:t xml:space="preserve">) .  </w:t>
      </w:r>
    </w:p>
    <w:p w:rsidR="00C31A1A" w:rsidRDefault="00C31A1A" w:rsidP="00C31A1A"/>
    <w:p w:rsidR="002D640B" w:rsidRDefault="002D640B" w:rsidP="00C31A1A"/>
    <w:p w:rsidR="002D640B" w:rsidRDefault="002D640B" w:rsidP="00C31A1A"/>
    <w:p w:rsidR="002D640B" w:rsidRPr="009576A8" w:rsidRDefault="002D640B" w:rsidP="00240B16">
      <w:pPr>
        <w:pStyle w:val="Caption"/>
        <w:spacing w:after="100" w:afterAutospacing="1"/>
        <w:jc w:val="center"/>
      </w:pPr>
      <w:bookmarkStart w:id="0" w:name="_Ref287467003"/>
      <w:r>
        <w:t xml:space="preserve">Table </w:t>
      </w:r>
      <w:fldSimple w:instr=" SEQ Table \* ARABIC ">
        <w:r>
          <w:rPr>
            <w:noProof/>
          </w:rPr>
          <w:t>1</w:t>
        </w:r>
      </w:fldSimple>
      <w:bookmarkEnd w:id="0"/>
      <w:r>
        <w:t xml:space="preserve"> Chroma Transform Size and CU Size (</w:t>
      </w:r>
      <w:r w:rsidRPr="00B046F6">
        <w:t>T</w:t>
      </w:r>
      <w:r>
        <w:t>=3)</w:t>
      </w:r>
    </w:p>
    <w:tbl>
      <w:tblPr>
        <w:tblStyle w:val="TableGrid"/>
        <w:tblW w:w="0" w:type="auto"/>
        <w:jc w:val="center"/>
        <w:tblInd w:w="198" w:type="dxa"/>
        <w:tblLook w:val="04A0"/>
      </w:tblPr>
      <w:tblGrid>
        <w:gridCol w:w="2430"/>
        <w:gridCol w:w="1350"/>
        <w:gridCol w:w="1350"/>
        <w:gridCol w:w="1350"/>
        <w:gridCol w:w="1350"/>
      </w:tblGrid>
      <w:tr w:rsidR="00C31A1A" w:rsidTr="005310BC">
        <w:trPr>
          <w:jc w:val="center"/>
        </w:trPr>
        <w:tc>
          <w:tcPr>
            <w:tcW w:w="2430" w:type="dxa"/>
          </w:tcPr>
          <w:p w:rsidR="00C31A1A" w:rsidRDefault="00C31A1A" w:rsidP="00C109DD">
            <w:pPr>
              <w:jc w:val="center"/>
            </w:pPr>
            <w:r>
              <w:t>CU Size</w:t>
            </w:r>
          </w:p>
        </w:tc>
        <w:tc>
          <w:tcPr>
            <w:tcW w:w="1350" w:type="dxa"/>
          </w:tcPr>
          <w:p w:rsidR="00C31A1A" w:rsidRDefault="00C31A1A" w:rsidP="00C109DD">
            <w:pPr>
              <w:jc w:val="center"/>
            </w:pPr>
            <w:r>
              <w:t>64x64</w:t>
            </w:r>
          </w:p>
        </w:tc>
        <w:tc>
          <w:tcPr>
            <w:tcW w:w="1350" w:type="dxa"/>
          </w:tcPr>
          <w:p w:rsidR="00C31A1A" w:rsidRDefault="00C31A1A" w:rsidP="00C109DD">
            <w:pPr>
              <w:jc w:val="center"/>
            </w:pPr>
            <w:r>
              <w:t>32x32</w:t>
            </w:r>
          </w:p>
        </w:tc>
        <w:tc>
          <w:tcPr>
            <w:tcW w:w="1350" w:type="dxa"/>
          </w:tcPr>
          <w:p w:rsidR="00C31A1A" w:rsidRDefault="00C31A1A" w:rsidP="00C109DD">
            <w:pPr>
              <w:jc w:val="center"/>
            </w:pPr>
            <w:r>
              <w:t>16x16</w:t>
            </w:r>
          </w:p>
        </w:tc>
        <w:tc>
          <w:tcPr>
            <w:tcW w:w="1350" w:type="dxa"/>
          </w:tcPr>
          <w:p w:rsidR="00C31A1A" w:rsidRDefault="00C31A1A" w:rsidP="00C109DD">
            <w:pPr>
              <w:jc w:val="center"/>
            </w:pPr>
            <w:r>
              <w:t>8x8</w:t>
            </w:r>
          </w:p>
        </w:tc>
      </w:tr>
      <w:tr w:rsidR="00C31A1A" w:rsidTr="005310BC">
        <w:trPr>
          <w:jc w:val="center"/>
        </w:trPr>
        <w:tc>
          <w:tcPr>
            <w:tcW w:w="2430" w:type="dxa"/>
          </w:tcPr>
          <w:p w:rsidR="00C31A1A" w:rsidRDefault="00C31A1A" w:rsidP="00C109DD">
            <w:pPr>
              <w:jc w:val="center"/>
            </w:pPr>
            <w:r>
              <w:t>Chroma Transform Size</w:t>
            </w:r>
          </w:p>
        </w:tc>
        <w:tc>
          <w:tcPr>
            <w:tcW w:w="1350" w:type="dxa"/>
          </w:tcPr>
          <w:p w:rsidR="00C31A1A" w:rsidRDefault="00C31A1A" w:rsidP="00C109DD">
            <w:pPr>
              <w:jc w:val="center"/>
            </w:pPr>
            <w:r>
              <w:t>32x32</w:t>
            </w:r>
          </w:p>
        </w:tc>
        <w:tc>
          <w:tcPr>
            <w:tcW w:w="1350" w:type="dxa"/>
          </w:tcPr>
          <w:p w:rsidR="00C31A1A" w:rsidRDefault="00C31A1A" w:rsidP="00C109DD">
            <w:pPr>
              <w:jc w:val="center"/>
            </w:pPr>
            <w:r>
              <w:t>16x16</w:t>
            </w:r>
          </w:p>
        </w:tc>
        <w:tc>
          <w:tcPr>
            <w:tcW w:w="1350" w:type="dxa"/>
          </w:tcPr>
          <w:p w:rsidR="00C31A1A" w:rsidRDefault="00C31A1A" w:rsidP="00C109DD">
            <w:pPr>
              <w:jc w:val="center"/>
            </w:pPr>
            <w:r>
              <w:t>8x8</w:t>
            </w:r>
          </w:p>
        </w:tc>
        <w:tc>
          <w:tcPr>
            <w:tcW w:w="1350" w:type="dxa"/>
          </w:tcPr>
          <w:p w:rsidR="00C31A1A" w:rsidRDefault="00C31A1A" w:rsidP="00C109DD">
            <w:pPr>
              <w:jc w:val="center"/>
            </w:pPr>
            <w:r>
              <w:t>4x4</w:t>
            </w:r>
          </w:p>
        </w:tc>
      </w:tr>
    </w:tbl>
    <w:p w:rsidR="00C31A1A" w:rsidRDefault="00C31A1A" w:rsidP="00856829">
      <w:pPr>
        <w:jc w:val="both"/>
        <w:rPr>
          <w:szCs w:val="22"/>
        </w:rPr>
      </w:pPr>
    </w:p>
    <w:p w:rsidR="00AF7710" w:rsidRDefault="00E83E84" w:rsidP="00856829">
      <w:pPr>
        <w:jc w:val="both"/>
        <w:rPr>
          <w:szCs w:val="22"/>
        </w:rPr>
      </w:pPr>
      <w:r>
        <w:rPr>
          <w:szCs w:val="22"/>
        </w:rPr>
        <w:t xml:space="preserve">Simulation results are as follows. </w:t>
      </w:r>
      <w:r w:rsidR="009271B8">
        <w:rPr>
          <w:szCs w:val="22"/>
        </w:rPr>
        <w:t>B</w:t>
      </w:r>
      <w:r w:rsidR="00856829">
        <w:rPr>
          <w:szCs w:val="22"/>
        </w:rPr>
        <w:t>it rate reduction in HE cases</w:t>
      </w:r>
      <w:r w:rsidR="009271B8">
        <w:rPr>
          <w:szCs w:val="22"/>
        </w:rPr>
        <w:t xml:space="preserve"> is observed</w:t>
      </w:r>
      <w:r w:rsidR="00B31AF2">
        <w:rPr>
          <w:szCs w:val="22"/>
        </w:rPr>
        <w:t xml:space="preserve"> (0.2% for Y, 1.0% for U and 1.2% for V)</w:t>
      </w:r>
      <w:r w:rsidR="00856829">
        <w:rPr>
          <w:szCs w:val="22"/>
        </w:rPr>
        <w:t>.</w:t>
      </w:r>
      <w:r w:rsidR="00B31AF2">
        <w:rPr>
          <w:szCs w:val="22"/>
        </w:rPr>
        <w:t xml:space="preserve"> For LoCo case, there is only very minor change in the overall performance. </w:t>
      </w:r>
      <w:r w:rsidR="00AF7710">
        <w:rPr>
          <w:szCs w:val="22"/>
        </w:rPr>
        <w:t>Probably this is because in</w:t>
      </w:r>
      <w:r w:rsidR="00B046F6">
        <w:rPr>
          <w:szCs w:val="22"/>
        </w:rPr>
        <w:t xml:space="preserve"> HM2.0</w:t>
      </w:r>
      <w:r w:rsidR="00AF7710">
        <w:rPr>
          <w:szCs w:val="22"/>
        </w:rPr>
        <w:t xml:space="preserve"> HE coding, max</w:t>
      </w:r>
      <w:r w:rsidR="009271B8">
        <w:rPr>
          <w:szCs w:val="22"/>
        </w:rPr>
        <w:t>imum</w:t>
      </w:r>
      <w:r w:rsidR="00AF7710">
        <w:rPr>
          <w:szCs w:val="22"/>
        </w:rPr>
        <w:t xml:space="preserve"> </w:t>
      </w:r>
      <w:r w:rsidR="00F26B79">
        <w:rPr>
          <w:szCs w:val="22"/>
        </w:rPr>
        <w:t xml:space="preserve">RQT </w:t>
      </w:r>
      <w:r w:rsidR="00101A5F">
        <w:rPr>
          <w:szCs w:val="22"/>
        </w:rPr>
        <w:t>depth is set to be 3, and chroma</w:t>
      </w:r>
      <w:r w:rsidR="00F26B79">
        <w:rPr>
          <w:szCs w:val="22"/>
        </w:rPr>
        <w:t xml:space="preserve"> </w:t>
      </w:r>
      <w:r w:rsidR="00E83CB2">
        <w:rPr>
          <w:szCs w:val="22"/>
        </w:rPr>
        <w:t>block</w:t>
      </w:r>
      <w:r w:rsidR="00FF5DB8">
        <w:rPr>
          <w:szCs w:val="22"/>
        </w:rPr>
        <w:t>s</w:t>
      </w:r>
      <w:r w:rsidR="00E83CB2">
        <w:rPr>
          <w:szCs w:val="22"/>
        </w:rPr>
        <w:t xml:space="preserve"> </w:t>
      </w:r>
      <w:r w:rsidR="008B40EB">
        <w:rPr>
          <w:szCs w:val="22"/>
        </w:rPr>
        <w:t>may be</w:t>
      </w:r>
      <w:r w:rsidR="00F26B79">
        <w:rPr>
          <w:szCs w:val="22"/>
        </w:rPr>
        <w:t xml:space="preserve"> over</w:t>
      </w:r>
      <w:r w:rsidR="00E36DDE">
        <w:rPr>
          <w:szCs w:val="22"/>
        </w:rPr>
        <w:t>-</w:t>
      </w:r>
      <w:r w:rsidR="00F26B79">
        <w:rPr>
          <w:szCs w:val="22"/>
        </w:rPr>
        <w:t xml:space="preserve">split since it goes with luma. In LoCo coding, the max depth is smaller (2 for Inter and 1 for intra), so the advantage from limiting chroma transform depth is not that big.  </w:t>
      </w:r>
    </w:p>
    <w:p w:rsidR="006D3FE6" w:rsidRPr="00D54A42" w:rsidRDefault="006D3FE6" w:rsidP="00856829">
      <w:pPr>
        <w:jc w:val="both"/>
      </w:pPr>
    </w:p>
    <w:tbl>
      <w:tblPr>
        <w:tblStyle w:val="TableGrid"/>
        <w:tblW w:w="0" w:type="auto"/>
        <w:jc w:val="center"/>
        <w:tblLook w:val="04A0"/>
      </w:tblPr>
      <w:tblGrid>
        <w:gridCol w:w="1596"/>
        <w:gridCol w:w="1212"/>
        <w:gridCol w:w="1260"/>
        <w:gridCol w:w="1260"/>
        <w:gridCol w:w="1710"/>
        <w:gridCol w:w="1620"/>
      </w:tblGrid>
      <w:tr w:rsidR="00904E61" w:rsidTr="00C109DD">
        <w:trPr>
          <w:jc w:val="center"/>
        </w:trPr>
        <w:tc>
          <w:tcPr>
            <w:tcW w:w="1596" w:type="dxa"/>
          </w:tcPr>
          <w:p w:rsidR="00904E61" w:rsidRPr="00036518" w:rsidRDefault="00904E61" w:rsidP="00C109DD"/>
        </w:tc>
        <w:tc>
          <w:tcPr>
            <w:tcW w:w="1212" w:type="dxa"/>
          </w:tcPr>
          <w:p w:rsidR="00904E61" w:rsidRPr="00036518" w:rsidRDefault="00904E61" w:rsidP="00C109DD">
            <w:pPr>
              <w:jc w:val="center"/>
            </w:pPr>
            <w:r w:rsidRPr="00036518">
              <w:t>Y</w:t>
            </w:r>
          </w:p>
        </w:tc>
        <w:tc>
          <w:tcPr>
            <w:tcW w:w="1260" w:type="dxa"/>
          </w:tcPr>
          <w:p w:rsidR="00904E61" w:rsidRPr="00036518" w:rsidRDefault="00904E61" w:rsidP="00C109DD">
            <w:pPr>
              <w:jc w:val="center"/>
            </w:pPr>
            <w:r w:rsidRPr="00036518">
              <w:t>U</w:t>
            </w:r>
          </w:p>
        </w:tc>
        <w:tc>
          <w:tcPr>
            <w:tcW w:w="1260" w:type="dxa"/>
          </w:tcPr>
          <w:p w:rsidR="00904E61" w:rsidRPr="00036518" w:rsidRDefault="00904E61" w:rsidP="00C109DD">
            <w:pPr>
              <w:jc w:val="center"/>
            </w:pPr>
            <w:r w:rsidRPr="00036518">
              <w:t>V</w:t>
            </w:r>
          </w:p>
        </w:tc>
        <w:tc>
          <w:tcPr>
            <w:tcW w:w="1710" w:type="dxa"/>
          </w:tcPr>
          <w:p w:rsidR="00904E61" w:rsidRPr="00036518" w:rsidRDefault="00904E61" w:rsidP="00C109DD">
            <w:pPr>
              <w:jc w:val="center"/>
            </w:pPr>
            <w:r w:rsidRPr="00036518">
              <w:t>Encoding Time</w:t>
            </w:r>
          </w:p>
        </w:tc>
        <w:tc>
          <w:tcPr>
            <w:tcW w:w="1620" w:type="dxa"/>
          </w:tcPr>
          <w:p w:rsidR="00904E61" w:rsidRPr="00036518" w:rsidRDefault="00904E61" w:rsidP="00C109DD">
            <w:pPr>
              <w:jc w:val="center"/>
            </w:pPr>
            <w:r w:rsidRPr="00036518">
              <w:t>Decoding Time</w:t>
            </w:r>
          </w:p>
        </w:tc>
      </w:tr>
      <w:tr w:rsidR="00904E61" w:rsidTr="00C109DD">
        <w:trPr>
          <w:jc w:val="center"/>
        </w:trPr>
        <w:tc>
          <w:tcPr>
            <w:tcW w:w="1596" w:type="dxa"/>
          </w:tcPr>
          <w:p w:rsidR="00904E61" w:rsidRPr="00036518" w:rsidRDefault="00904E61" w:rsidP="00C109DD">
            <w:pPr>
              <w:jc w:val="center"/>
            </w:pPr>
            <w:r w:rsidRPr="00036518">
              <w:t>Intra</w:t>
            </w:r>
          </w:p>
        </w:tc>
        <w:tc>
          <w:tcPr>
            <w:tcW w:w="1212"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-0.1</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-1.1</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-1.4</w:t>
            </w:r>
          </w:p>
        </w:tc>
        <w:tc>
          <w:tcPr>
            <w:tcW w:w="1710" w:type="dxa"/>
          </w:tcPr>
          <w:p w:rsidR="00904E61" w:rsidRPr="00036518" w:rsidRDefault="00904E61" w:rsidP="00C109DD">
            <w:pPr>
              <w:jc w:val="center"/>
            </w:pPr>
            <w:r w:rsidRPr="00036518">
              <w:t>100%</w:t>
            </w:r>
          </w:p>
        </w:tc>
        <w:tc>
          <w:tcPr>
            <w:tcW w:w="1620" w:type="dxa"/>
          </w:tcPr>
          <w:p w:rsidR="00904E61" w:rsidRPr="00036518" w:rsidRDefault="00904E61" w:rsidP="00C109DD">
            <w:pPr>
              <w:jc w:val="center"/>
            </w:pPr>
            <w:r w:rsidRPr="00036518">
              <w:t>98%</w:t>
            </w:r>
          </w:p>
        </w:tc>
      </w:tr>
      <w:tr w:rsidR="00904E61" w:rsidTr="00C109DD">
        <w:trPr>
          <w:jc w:val="center"/>
        </w:trPr>
        <w:tc>
          <w:tcPr>
            <w:tcW w:w="1596" w:type="dxa"/>
          </w:tcPr>
          <w:p w:rsidR="00904E61" w:rsidRPr="00036518" w:rsidRDefault="00904E61" w:rsidP="00C109DD">
            <w:pPr>
              <w:jc w:val="center"/>
            </w:pPr>
            <w:r w:rsidRPr="00036518">
              <w:t>RA</w:t>
            </w:r>
          </w:p>
        </w:tc>
        <w:tc>
          <w:tcPr>
            <w:tcW w:w="1212"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-0.2</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-0.7</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-1.1</w:t>
            </w:r>
          </w:p>
        </w:tc>
        <w:tc>
          <w:tcPr>
            <w:tcW w:w="1710" w:type="dxa"/>
          </w:tcPr>
          <w:p w:rsidR="00904E61" w:rsidRPr="00036518" w:rsidRDefault="00904E61" w:rsidP="00C109DD">
            <w:pPr>
              <w:jc w:val="center"/>
            </w:pPr>
            <w:r w:rsidRPr="00036518">
              <w:rPr>
                <w:rFonts w:eastAsia="Times New Roman"/>
                <w:sz w:val="20"/>
                <w:lang w:eastAsia="zh-CN"/>
              </w:rPr>
              <w:t>94%</w:t>
            </w:r>
          </w:p>
        </w:tc>
        <w:tc>
          <w:tcPr>
            <w:tcW w:w="1620" w:type="dxa"/>
          </w:tcPr>
          <w:p w:rsidR="00904E61" w:rsidRPr="00036518" w:rsidRDefault="00904E61" w:rsidP="00C109DD">
            <w:pPr>
              <w:jc w:val="center"/>
            </w:pPr>
            <w:r w:rsidRPr="00036518">
              <w:t>100%</w:t>
            </w:r>
          </w:p>
        </w:tc>
      </w:tr>
      <w:tr w:rsidR="00904E61" w:rsidTr="00C109DD">
        <w:trPr>
          <w:jc w:val="center"/>
        </w:trPr>
        <w:tc>
          <w:tcPr>
            <w:tcW w:w="1596" w:type="dxa"/>
          </w:tcPr>
          <w:p w:rsidR="00904E61" w:rsidRPr="00036518" w:rsidRDefault="00904E61" w:rsidP="00C109DD">
            <w:pPr>
              <w:jc w:val="center"/>
            </w:pPr>
            <w:r w:rsidRPr="00036518">
              <w:t>LD</w:t>
            </w:r>
          </w:p>
        </w:tc>
        <w:tc>
          <w:tcPr>
            <w:tcW w:w="1212"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-0.2</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-1.2</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-1.2</w:t>
            </w:r>
          </w:p>
        </w:tc>
        <w:tc>
          <w:tcPr>
            <w:tcW w:w="1710" w:type="dxa"/>
          </w:tcPr>
          <w:p w:rsidR="00904E61" w:rsidRPr="00036518" w:rsidRDefault="00904E61" w:rsidP="00C109DD">
            <w:pPr>
              <w:jc w:val="center"/>
            </w:pPr>
            <w:r w:rsidRPr="00036518">
              <w:rPr>
                <w:rFonts w:eastAsia="Times New Roman"/>
                <w:sz w:val="20"/>
                <w:lang w:eastAsia="zh-CN"/>
              </w:rPr>
              <w:t>96%</w:t>
            </w:r>
          </w:p>
        </w:tc>
        <w:tc>
          <w:tcPr>
            <w:tcW w:w="1620" w:type="dxa"/>
          </w:tcPr>
          <w:p w:rsidR="00904E61" w:rsidRPr="00036518" w:rsidRDefault="00904E61" w:rsidP="00C109DD">
            <w:pPr>
              <w:jc w:val="center"/>
            </w:pPr>
            <w:r w:rsidRPr="00036518">
              <w:t>98%</w:t>
            </w:r>
          </w:p>
        </w:tc>
      </w:tr>
      <w:tr w:rsidR="00904E61" w:rsidTr="00C109DD">
        <w:trPr>
          <w:jc w:val="center"/>
        </w:trPr>
        <w:tc>
          <w:tcPr>
            <w:tcW w:w="1596" w:type="dxa"/>
          </w:tcPr>
          <w:p w:rsidR="00904E61" w:rsidRPr="00036518" w:rsidRDefault="00904E61" w:rsidP="00C109DD">
            <w:pPr>
              <w:jc w:val="center"/>
              <w:rPr>
                <w:b/>
              </w:rPr>
            </w:pPr>
            <w:r w:rsidRPr="00036518">
              <w:rPr>
                <w:b/>
              </w:rPr>
              <w:t>HE Avg.</w:t>
            </w:r>
          </w:p>
        </w:tc>
        <w:tc>
          <w:tcPr>
            <w:tcW w:w="1212"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b/>
                <w:sz w:val="20"/>
                <w:lang w:eastAsia="zh-CN"/>
              </w:rPr>
            </w:pPr>
            <w:r w:rsidRPr="00036518">
              <w:rPr>
                <w:rFonts w:eastAsia="Times New Roman"/>
                <w:b/>
                <w:sz w:val="20"/>
                <w:lang w:eastAsia="zh-CN"/>
              </w:rPr>
              <w:t>-0.2</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b/>
                <w:sz w:val="20"/>
                <w:lang w:eastAsia="zh-CN"/>
              </w:rPr>
            </w:pPr>
            <w:r w:rsidRPr="00036518">
              <w:rPr>
                <w:rFonts w:eastAsia="Times New Roman"/>
                <w:b/>
                <w:sz w:val="20"/>
                <w:lang w:eastAsia="zh-CN"/>
              </w:rPr>
              <w:t>-1.0</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b/>
                <w:sz w:val="20"/>
                <w:lang w:eastAsia="zh-CN"/>
              </w:rPr>
            </w:pPr>
            <w:r w:rsidRPr="00036518">
              <w:rPr>
                <w:rFonts w:eastAsia="Times New Roman"/>
                <w:b/>
                <w:sz w:val="20"/>
                <w:lang w:eastAsia="zh-CN"/>
              </w:rPr>
              <w:t>-1.2</w:t>
            </w:r>
          </w:p>
        </w:tc>
        <w:tc>
          <w:tcPr>
            <w:tcW w:w="1710" w:type="dxa"/>
          </w:tcPr>
          <w:p w:rsidR="00904E61" w:rsidRPr="00036518" w:rsidRDefault="00904E61" w:rsidP="00C109DD">
            <w:pPr>
              <w:jc w:val="center"/>
              <w:rPr>
                <w:b/>
              </w:rPr>
            </w:pPr>
            <w:r w:rsidRPr="00036518">
              <w:rPr>
                <w:b/>
              </w:rPr>
              <w:t>97%</w:t>
            </w:r>
          </w:p>
        </w:tc>
        <w:tc>
          <w:tcPr>
            <w:tcW w:w="1620" w:type="dxa"/>
          </w:tcPr>
          <w:p w:rsidR="00904E61" w:rsidRPr="00036518" w:rsidRDefault="00904E61" w:rsidP="00C109DD">
            <w:pPr>
              <w:jc w:val="center"/>
              <w:rPr>
                <w:b/>
              </w:rPr>
            </w:pPr>
            <w:r w:rsidRPr="00036518">
              <w:rPr>
                <w:b/>
              </w:rPr>
              <w:t>98%</w:t>
            </w:r>
          </w:p>
        </w:tc>
      </w:tr>
      <w:tr w:rsidR="00036518" w:rsidTr="00036518">
        <w:trPr>
          <w:trHeight w:val="98"/>
          <w:jc w:val="center"/>
        </w:trPr>
        <w:tc>
          <w:tcPr>
            <w:tcW w:w="1596" w:type="dxa"/>
          </w:tcPr>
          <w:p w:rsidR="00036518" w:rsidRPr="00036518" w:rsidRDefault="00036518" w:rsidP="00C109DD">
            <w:pPr>
              <w:jc w:val="center"/>
              <w:rPr>
                <w:b/>
              </w:rPr>
            </w:pPr>
          </w:p>
        </w:tc>
        <w:tc>
          <w:tcPr>
            <w:tcW w:w="1212" w:type="dxa"/>
            <w:vAlign w:val="bottom"/>
          </w:tcPr>
          <w:p w:rsidR="00036518" w:rsidRPr="00036518" w:rsidRDefault="00036518"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b/>
                <w:sz w:val="20"/>
                <w:lang w:eastAsia="zh-CN"/>
              </w:rPr>
            </w:pPr>
          </w:p>
        </w:tc>
        <w:tc>
          <w:tcPr>
            <w:tcW w:w="1260" w:type="dxa"/>
            <w:vAlign w:val="bottom"/>
          </w:tcPr>
          <w:p w:rsidR="00036518" w:rsidRPr="00036518" w:rsidRDefault="00036518"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b/>
                <w:sz w:val="20"/>
                <w:lang w:eastAsia="zh-CN"/>
              </w:rPr>
            </w:pPr>
          </w:p>
        </w:tc>
        <w:tc>
          <w:tcPr>
            <w:tcW w:w="1260" w:type="dxa"/>
            <w:vAlign w:val="bottom"/>
          </w:tcPr>
          <w:p w:rsidR="00036518" w:rsidRPr="00036518" w:rsidRDefault="00036518"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b/>
                <w:sz w:val="20"/>
                <w:lang w:eastAsia="zh-CN"/>
              </w:rPr>
            </w:pPr>
          </w:p>
        </w:tc>
        <w:tc>
          <w:tcPr>
            <w:tcW w:w="1710" w:type="dxa"/>
          </w:tcPr>
          <w:p w:rsidR="00036518" w:rsidRPr="00036518" w:rsidRDefault="00036518" w:rsidP="00C109DD">
            <w:pPr>
              <w:jc w:val="center"/>
              <w:rPr>
                <w:b/>
              </w:rPr>
            </w:pPr>
          </w:p>
        </w:tc>
        <w:tc>
          <w:tcPr>
            <w:tcW w:w="1620" w:type="dxa"/>
          </w:tcPr>
          <w:p w:rsidR="00036518" w:rsidRPr="00036518" w:rsidRDefault="00036518" w:rsidP="00C109DD">
            <w:pPr>
              <w:jc w:val="center"/>
              <w:rPr>
                <w:b/>
              </w:rPr>
            </w:pPr>
          </w:p>
        </w:tc>
      </w:tr>
      <w:tr w:rsidR="00904E61" w:rsidRPr="00036518" w:rsidTr="00C109DD">
        <w:trPr>
          <w:jc w:val="center"/>
        </w:trPr>
        <w:tc>
          <w:tcPr>
            <w:tcW w:w="1596" w:type="dxa"/>
          </w:tcPr>
          <w:p w:rsidR="00904E61" w:rsidRPr="00036518" w:rsidRDefault="00904E61" w:rsidP="00C109DD">
            <w:pPr>
              <w:jc w:val="center"/>
            </w:pPr>
            <w:r w:rsidRPr="00036518">
              <w:t>Intra LoCo</w:t>
            </w:r>
          </w:p>
        </w:tc>
        <w:tc>
          <w:tcPr>
            <w:tcW w:w="1212"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0.0</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-0.2</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-0.2</w:t>
            </w:r>
          </w:p>
        </w:tc>
        <w:tc>
          <w:tcPr>
            <w:tcW w:w="1710" w:type="dxa"/>
          </w:tcPr>
          <w:p w:rsidR="00904E61" w:rsidRPr="00036518" w:rsidRDefault="00904E61" w:rsidP="00C109DD">
            <w:pPr>
              <w:jc w:val="center"/>
            </w:pPr>
            <w:r w:rsidRPr="00036518">
              <w:rPr>
                <w:sz w:val="20"/>
              </w:rPr>
              <w:t>99%</w:t>
            </w:r>
          </w:p>
        </w:tc>
        <w:tc>
          <w:tcPr>
            <w:tcW w:w="1620" w:type="dxa"/>
          </w:tcPr>
          <w:p w:rsidR="00904E61" w:rsidRPr="00036518" w:rsidRDefault="00904E61" w:rsidP="00C109DD">
            <w:pPr>
              <w:jc w:val="center"/>
            </w:pPr>
            <w:r w:rsidRPr="00036518">
              <w:rPr>
                <w:rFonts w:eastAsia="Times New Roman"/>
                <w:sz w:val="20"/>
                <w:lang w:eastAsia="zh-CN"/>
              </w:rPr>
              <w:t>100%</w:t>
            </w:r>
          </w:p>
        </w:tc>
      </w:tr>
      <w:tr w:rsidR="00904E61" w:rsidTr="00C109DD">
        <w:trPr>
          <w:jc w:val="center"/>
        </w:trPr>
        <w:tc>
          <w:tcPr>
            <w:tcW w:w="1596" w:type="dxa"/>
          </w:tcPr>
          <w:p w:rsidR="00904E61" w:rsidRPr="00036518" w:rsidRDefault="00904E61" w:rsidP="00C109DD">
            <w:pPr>
              <w:jc w:val="center"/>
            </w:pPr>
            <w:r w:rsidRPr="00036518">
              <w:t>RA LoCo</w:t>
            </w:r>
          </w:p>
        </w:tc>
        <w:tc>
          <w:tcPr>
            <w:tcW w:w="1212"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-0.1</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0.3</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sz w:val="20"/>
                <w:lang w:eastAsia="zh-CN"/>
              </w:rPr>
            </w:pPr>
            <w:r w:rsidRPr="00036518">
              <w:rPr>
                <w:rFonts w:eastAsia="Times New Roman"/>
                <w:sz w:val="20"/>
                <w:lang w:eastAsia="zh-CN"/>
              </w:rPr>
              <w:t>0.0</w:t>
            </w:r>
          </w:p>
        </w:tc>
        <w:tc>
          <w:tcPr>
            <w:tcW w:w="1710" w:type="dxa"/>
          </w:tcPr>
          <w:p w:rsidR="00904E61" w:rsidRPr="00036518" w:rsidRDefault="00904E61" w:rsidP="00C109DD">
            <w:pPr>
              <w:jc w:val="center"/>
            </w:pPr>
            <w:r w:rsidRPr="00036518">
              <w:rPr>
                <w:rFonts w:eastAsia="Times New Roman"/>
                <w:sz w:val="20"/>
                <w:lang w:eastAsia="zh-CN"/>
              </w:rPr>
              <w:t>97%</w:t>
            </w:r>
          </w:p>
        </w:tc>
        <w:tc>
          <w:tcPr>
            <w:tcW w:w="1620" w:type="dxa"/>
          </w:tcPr>
          <w:p w:rsidR="00904E61" w:rsidRPr="00036518" w:rsidRDefault="00904E61" w:rsidP="00C109DD">
            <w:pPr>
              <w:jc w:val="center"/>
            </w:pPr>
            <w:r w:rsidRPr="00036518">
              <w:rPr>
                <w:rFonts w:eastAsia="Times New Roman"/>
                <w:sz w:val="20"/>
                <w:lang w:eastAsia="zh-CN"/>
              </w:rPr>
              <w:t>99%</w:t>
            </w:r>
          </w:p>
        </w:tc>
      </w:tr>
      <w:tr w:rsidR="00904E61" w:rsidTr="00C109DD">
        <w:trPr>
          <w:jc w:val="center"/>
        </w:trPr>
        <w:tc>
          <w:tcPr>
            <w:tcW w:w="1596" w:type="dxa"/>
          </w:tcPr>
          <w:p w:rsidR="00904E61" w:rsidRPr="00036518" w:rsidRDefault="00904E61" w:rsidP="00C109DD">
            <w:pPr>
              <w:jc w:val="center"/>
            </w:pPr>
            <w:r w:rsidRPr="00036518">
              <w:t>LD LoCo</w:t>
            </w:r>
          </w:p>
        </w:tc>
        <w:tc>
          <w:tcPr>
            <w:tcW w:w="1212" w:type="dxa"/>
            <w:vAlign w:val="bottom"/>
          </w:tcPr>
          <w:p w:rsidR="00904E61" w:rsidRPr="00036518" w:rsidRDefault="00904E61" w:rsidP="00C109DD">
            <w:pPr>
              <w:jc w:val="center"/>
              <w:rPr>
                <w:sz w:val="20"/>
              </w:rPr>
            </w:pPr>
            <w:r w:rsidRPr="00036518">
              <w:rPr>
                <w:sz w:val="20"/>
              </w:rPr>
              <w:t>-0.3</w:t>
            </w:r>
          </w:p>
        </w:tc>
        <w:tc>
          <w:tcPr>
            <w:tcW w:w="1260" w:type="dxa"/>
            <w:vAlign w:val="bottom"/>
          </w:tcPr>
          <w:p w:rsidR="00904E61" w:rsidRPr="00036518" w:rsidRDefault="00904E61" w:rsidP="00C109DD">
            <w:pPr>
              <w:jc w:val="center"/>
              <w:rPr>
                <w:sz w:val="20"/>
              </w:rPr>
            </w:pPr>
            <w:r w:rsidRPr="00036518">
              <w:rPr>
                <w:sz w:val="20"/>
              </w:rPr>
              <w:t>0.3</w:t>
            </w:r>
          </w:p>
        </w:tc>
        <w:tc>
          <w:tcPr>
            <w:tcW w:w="1260" w:type="dxa"/>
            <w:vAlign w:val="bottom"/>
          </w:tcPr>
          <w:p w:rsidR="00904E61" w:rsidRPr="00036518" w:rsidRDefault="00904E61" w:rsidP="00C109DD">
            <w:pPr>
              <w:jc w:val="center"/>
              <w:rPr>
                <w:sz w:val="20"/>
              </w:rPr>
            </w:pPr>
            <w:r w:rsidRPr="00036518">
              <w:rPr>
                <w:sz w:val="20"/>
              </w:rPr>
              <w:t>0.3</w:t>
            </w:r>
          </w:p>
        </w:tc>
        <w:tc>
          <w:tcPr>
            <w:tcW w:w="1710" w:type="dxa"/>
          </w:tcPr>
          <w:p w:rsidR="00904E61" w:rsidRPr="00036518" w:rsidRDefault="00904E61" w:rsidP="00C109DD">
            <w:pPr>
              <w:jc w:val="center"/>
            </w:pPr>
            <w:r w:rsidRPr="00036518">
              <w:t>94%</w:t>
            </w:r>
          </w:p>
        </w:tc>
        <w:tc>
          <w:tcPr>
            <w:tcW w:w="1620" w:type="dxa"/>
          </w:tcPr>
          <w:p w:rsidR="00904E61" w:rsidRPr="00036518" w:rsidRDefault="00904E61" w:rsidP="00C109DD">
            <w:pPr>
              <w:jc w:val="center"/>
            </w:pPr>
            <w:r w:rsidRPr="00036518">
              <w:t>100%</w:t>
            </w:r>
          </w:p>
        </w:tc>
      </w:tr>
      <w:tr w:rsidR="00904E61" w:rsidTr="00C109DD">
        <w:trPr>
          <w:jc w:val="center"/>
        </w:trPr>
        <w:tc>
          <w:tcPr>
            <w:tcW w:w="1596" w:type="dxa"/>
          </w:tcPr>
          <w:p w:rsidR="00904E61" w:rsidRPr="00036518" w:rsidRDefault="00904E61" w:rsidP="00C109DD">
            <w:pPr>
              <w:jc w:val="center"/>
              <w:rPr>
                <w:b/>
              </w:rPr>
            </w:pPr>
            <w:r w:rsidRPr="00036518">
              <w:rPr>
                <w:b/>
              </w:rPr>
              <w:t>LoCo Avg.</w:t>
            </w:r>
          </w:p>
        </w:tc>
        <w:tc>
          <w:tcPr>
            <w:tcW w:w="1212"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b/>
                <w:sz w:val="20"/>
                <w:lang w:eastAsia="zh-CN"/>
              </w:rPr>
            </w:pPr>
            <w:r w:rsidRPr="00036518">
              <w:rPr>
                <w:rFonts w:eastAsia="Times New Roman"/>
                <w:b/>
                <w:sz w:val="20"/>
                <w:lang w:eastAsia="zh-CN"/>
              </w:rPr>
              <w:t>-0.1</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b/>
                <w:sz w:val="20"/>
                <w:lang w:eastAsia="zh-CN"/>
              </w:rPr>
            </w:pPr>
            <w:r w:rsidRPr="00036518">
              <w:rPr>
                <w:rFonts w:eastAsia="Times New Roman"/>
                <w:b/>
                <w:sz w:val="20"/>
                <w:lang w:eastAsia="zh-CN"/>
              </w:rPr>
              <w:t>0.1</w:t>
            </w:r>
          </w:p>
        </w:tc>
        <w:tc>
          <w:tcPr>
            <w:tcW w:w="1260" w:type="dxa"/>
            <w:vAlign w:val="bottom"/>
          </w:tcPr>
          <w:p w:rsidR="00904E61" w:rsidRPr="00036518" w:rsidRDefault="00904E61" w:rsidP="00C109DD">
            <w:pPr>
              <w:tabs>
                <w:tab w:val="clear" w:pos="360"/>
                <w:tab w:val="clear" w:pos="720"/>
                <w:tab w:val="clear" w:pos="1080"/>
                <w:tab w:val="clear" w:pos="1440"/>
              </w:tabs>
              <w:overflowPunct/>
              <w:autoSpaceDE/>
              <w:autoSpaceDN/>
              <w:adjustRightInd/>
              <w:spacing w:before="0"/>
              <w:jc w:val="center"/>
              <w:textAlignment w:val="auto"/>
              <w:rPr>
                <w:rFonts w:eastAsia="Times New Roman"/>
                <w:b/>
                <w:sz w:val="20"/>
                <w:lang w:eastAsia="zh-CN"/>
              </w:rPr>
            </w:pPr>
            <w:r w:rsidRPr="00036518">
              <w:rPr>
                <w:rFonts w:eastAsia="Times New Roman"/>
                <w:b/>
                <w:sz w:val="20"/>
                <w:lang w:eastAsia="zh-CN"/>
              </w:rPr>
              <w:t>0.0</w:t>
            </w:r>
          </w:p>
        </w:tc>
        <w:tc>
          <w:tcPr>
            <w:tcW w:w="1710" w:type="dxa"/>
          </w:tcPr>
          <w:p w:rsidR="00904E61" w:rsidRPr="00036518" w:rsidRDefault="00904E61" w:rsidP="00C109DD">
            <w:pPr>
              <w:jc w:val="center"/>
              <w:rPr>
                <w:b/>
              </w:rPr>
            </w:pPr>
            <w:r w:rsidRPr="00036518">
              <w:rPr>
                <w:b/>
              </w:rPr>
              <w:t>97%</w:t>
            </w:r>
          </w:p>
        </w:tc>
        <w:tc>
          <w:tcPr>
            <w:tcW w:w="1620" w:type="dxa"/>
          </w:tcPr>
          <w:p w:rsidR="00904E61" w:rsidRPr="00036518" w:rsidRDefault="00904E61" w:rsidP="00C109DD">
            <w:pPr>
              <w:jc w:val="center"/>
              <w:rPr>
                <w:b/>
              </w:rPr>
            </w:pPr>
            <w:r w:rsidRPr="00036518">
              <w:rPr>
                <w:b/>
              </w:rPr>
              <w:t>100%</w:t>
            </w:r>
          </w:p>
        </w:tc>
      </w:tr>
    </w:tbl>
    <w:p w:rsidR="00F43AED" w:rsidRDefault="00F43AED" w:rsidP="00F43AED"/>
    <w:p w:rsidR="00904E61" w:rsidRDefault="00180550" w:rsidP="00180550">
      <w:pPr>
        <w:jc w:val="center"/>
      </w:pPr>
      <w:r w:rsidRPr="00180550">
        <w:rPr>
          <w:noProof/>
          <w:lang w:eastAsia="zh-CN"/>
        </w:rPr>
        <w:lastRenderedPageBreak/>
        <w:drawing>
          <wp:inline distT="0" distB="0" distL="0" distR="0">
            <wp:extent cx="4580890" cy="547751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580890" cy="5477510"/>
                    </a:xfrm>
                    <a:prstGeom prst="rect">
                      <a:avLst/>
                    </a:prstGeom>
                    <a:noFill/>
                    <a:ln w="9525">
                      <a:noFill/>
                      <a:miter lim="800000"/>
                      <a:headEnd/>
                      <a:tailEnd/>
                    </a:ln>
                  </pic:spPr>
                </pic:pic>
              </a:graphicData>
            </a:graphic>
          </wp:inline>
        </w:drawing>
      </w:r>
    </w:p>
    <w:p w:rsidR="00306F04" w:rsidRDefault="00306F04" w:rsidP="00306F04">
      <w:pPr>
        <w:pStyle w:val="Heading1"/>
      </w:pPr>
      <w:r w:rsidRPr="009F1E60">
        <w:t>Conclusion</w:t>
      </w:r>
    </w:p>
    <w:p w:rsidR="00306F04" w:rsidRPr="00306F04" w:rsidRDefault="00306F04" w:rsidP="00306F04"/>
    <w:p w:rsidR="00BE0447" w:rsidRDefault="00AF7710" w:rsidP="00306F04">
      <w:pPr>
        <w:tabs>
          <w:tab w:val="clear" w:pos="360"/>
          <w:tab w:val="clear" w:pos="720"/>
          <w:tab w:val="clear" w:pos="1080"/>
          <w:tab w:val="clear" w:pos="1440"/>
        </w:tabs>
        <w:spacing w:before="0"/>
        <w:jc w:val="both"/>
      </w:pPr>
      <w:r>
        <w:t xml:space="preserve">In this contribution, </w:t>
      </w:r>
      <w:r w:rsidR="005D410F">
        <w:t xml:space="preserve">we </w:t>
      </w:r>
      <w:r w:rsidR="00180550">
        <w:t xml:space="preserve">further </w:t>
      </w:r>
      <w:r w:rsidR="005D410F">
        <w:t xml:space="preserve">limit chroma transform depth </w:t>
      </w:r>
      <w:r w:rsidR="00180550">
        <w:t>in RQT relative to luma</w:t>
      </w:r>
      <w:r w:rsidR="005D410F">
        <w:t>.</w:t>
      </w:r>
      <w:r w:rsidR="00113FFE">
        <w:t xml:space="preserve"> As a result, chroma component does not have to share the same transform depth as luma.</w:t>
      </w:r>
      <w:r w:rsidR="005D410F">
        <w:t xml:space="preserve"> Coding efficiency </w:t>
      </w:r>
      <w:r w:rsidR="00113FFE">
        <w:t xml:space="preserve">improvement </w:t>
      </w:r>
      <w:r w:rsidR="005D410F">
        <w:t>is observed in most of the test cases. We recommend</w:t>
      </w:r>
      <w:r w:rsidR="00113FFE">
        <w:t xml:space="preserve"> some flexibility be allowed in assigning different maximum TU depth for luma and chroma.</w:t>
      </w:r>
      <w:r w:rsidR="005D410F">
        <w:t xml:space="preserve"> </w:t>
      </w:r>
    </w:p>
    <w:p w:rsidR="00BE0B83" w:rsidRDefault="00AA3DAF" w:rsidP="00AA3DAF">
      <w:pPr>
        <w:pStyle w:val="Heading1"/>
      </w:pPr>
      <w:r w:rsidRPr="00AA3DAF">
        <w:t>References</w:t>
      </w:r>
    </w:p>
    <w:p w:rsidR="00BE0447" w:rsidRDefault="009576A8" w:rsidP="00BE0447">
      <w:pPr>
        <w:numPr>
          <w:ilvl w:val="0"/>
          <w:numId w:val="12"/>
        </w:numPr>
        <w:tabs>
          <w:tab w:val="clear" w:pos="360"/>
          <w:tab w:val="clear" w:pos="720"/>
          <w:tab w:val="clear" w:pos="1080"/>
          <w:tab w:val="clear" w:pos="1440"/>
        </w:tabs>
        <w:spacing w:before="0"/>
        <w:ind w:left="360"/>
        <w:jc w:val="both"/>
      </w:pPr>
      <w:r>
        <w:t>M. Zhou and A. Tabatabai</w:t>
      </w:r>
      <w:r w:rsidR="00BE0447">
        <w:rPr>
          <w:szCs w:val="22"/>
        </w:rPr>
        <w:t>,</w:t>
      </w:r>
      <w:r w:rsidR="00BE0447" w:rsidRPr="00F23C9E">
        <w:t xml:space="preserve"> </w:t>
      </w:r>
      <w:r w:rsidR="00BE0447">
        <w:t>“</w:t>
      </w:r>
      <w:r>
        <w:t>Evaluation Results on Residual Quad Tree (RQT)</w:t>
      </w:r>
      <w:r w:rsidR="00BE0447">
        <w:t>”,</w:t>
      </w:r>
      <w:r w:rsidR="00BE0447" w:rsidRPr="00F23C9E">
        <w:t xml:space="preserve"> </w:t>
      </w:r>
      <w:r w:rsidR="00BE0447">
        <w:t>JCTVC-</w:t>
      </w:r>
      <w:r>
        <w:t>D060</w:t>
      </w:r>
      <w:r w:rsidR="00BE0447">
        <w:t>,</w:t>
      </w:r>
      <w:r w:rsidRPr="00E1283F">
        <w:rPr>
          <w:szCs w:val="22"/>
        </w:rPr>
        <w:t xml:space="preserve"> JCT-VC Meeting, Daegu, KR, Jan. 2011</w:t>
      </w:r>
      <w:r w:rsidR="00BE0447" w:rsidRPr="00807EA1">
        <w:t xml:space="preserve">. </w:t>
      </w:r>
    </w:p>
    <w:p w:rsidR="000273CF" w:rsidRPr="00E1283F" w:rsidRDefault="000273CF" w:rsidP="000273CF">
      <w:pPr>
        <w:numPr>
          <w:ilvl w:val="0"/>
          <w:numId w:val="12"/>
        </w:numPr>
        <w:tabs>
          <w:tab w:val="clear" w:pos="360"/>
          <w:tab w:val="clear" w:pos="720"/>
          <w:tab w:val="clear" w:pos="1080"/>
          <w:tab w:val="clear" w:pos="1440"/>
        </w:tabs>
        <w:spacing w:before="0"/>
        <w:ind w:left="360"/>
        <w:jc w:val="both"/>
        <w:rPr>
          <w:szCs w:val="22"/>
        </w:rPr>
      </w:pPr>
      <w:r>
        <w:rPr>
          <w:szCs w:val="22"/>
        </w:rPr>
        <w:t>F</w:t>
      </w:r>
      <w:r w:rsidRPr="00E1283F">
        <w:rPr>
          <w:szCs w:val="22"/>
        </w:rPr>
        <w:t>.</w:t>
      </w:r>
      <w:r>
        <w:rPr>
          <w:szCs w:val="22"/>
        </w:rPr>
        <w:t>Bossen</w:t>
      </w:r>
      <w:r w:rsidRPr="00E1283F">
        <w:rPr>
          <w:szCs w:val="22"/>
        </w:rPr>
        <w:t xml:space="preserve">, </w:t>
      </w:r>
      <w:r>
        <w:rPr>
          <w:szCs w:val="22"/>
        </w:rPr>
        <w:t>“</w:t>
      </w:r>
      <w:r w:rsidRPr="000273CF">
        <w:rPr>
          <w:szCs w:val="22"/>
        </w:rPr>
        <w:t>Common test conditions and software reference configurations</w:t>
      </w:r>
      <w:r>
        <w:rPr>
          <w:szCs w:val="22"/>
        </w:rPr>
        <w:t>”,</w:t>
      </w:r>
      <w:r w:rsidRPr="00E1283F">
        <w:rPr>
          <w:szCs w:val="22"/>
        </w:rPr>
        <w:t xml:space="preserve"> </w:t>
      </w:r>
      <w:r>
        <w:rPr>
          <w:szCs w:val="22"/>
        </w:rPr>
        <w:t>JCTVC-D600</w:t>
      </w:r>
      <w:r w:rsidRPr="00E1283F">
        <w:rPr>
          <w:szCs w:val="22"/>
        </w:rPr>
        <w:t>, JCT-VC Meeting, Daegu, KR, Jan. 2011</w:t>
      </w:r>
      <w:r>
        <w:rPr>
          <w:szCs w:val="22"/>
        </w:rPr>
        <w:t>.</w:t>
      </w:r>
    </w:p>
    <w:p w:rsidR="000273CF" w:rsidRPr="00E1283F" w:rsidRDefault="000273CF" w:rsidP="000273CF">
      <w:pPr>
        <w:tabs>
          <w:tab w:val="clear" w:pos="360"/>
          <w:tab w:val="clear" w:pos="720"/>
          <w:tab w:val="clear" w:pos="1080"/>
          <w:tab w:val="clear" w:pos="1440"/>
        </w:tabs>
        <w:spacing w:before="0"/>
        <w:ind w:left="360"/>
        <w:jc w:val="both"/>
        <w:rPr>
          <w:szCs w:val="22"/>
        </w:rPr>
      </w:pPr>
    </w:p>
    <w:p w:rsidR="00BE0447" w:rsidRDefault="00BE0447" w:rsidP="00BE0447">
      <w:pPr>
        <w:tabs>
          <w:tab w:val="clear" w:pos="360"/>
          <w:tab w:val="clear" w:pos="720"/>
          <w:tab w:val="clear" w:pos="1080"/>
          <w:tab w:val="clear" w:pos="1440"/>
        </w:tabs>
        <w:spacing w:before="0"/>
        <w:ind w:left="360"/>
        <w:jc w:val="both"/>
      </w:pPr>
    </w:p>
    <w:p w:rsidR="00B0060F" w:rsidRPr="002B191D" w:rsidRDefault="00B0060F" w:rsidP="00B0060F">
      <w:pPr>
        <w:pStyle w:val="Heading1"/>
      </w:pPr>
      <w:r w:rsidRPr="00E11923">
        <w:t>Patent</w:t>
      </w:r>
      <w:r w:rsidRPr="002B191D">
        <w:t xml:space="preserve"> rights declaration(s)</w:t>
      </w:r>
    </w:p>
    <w:p w:rsidR="00B0060F" w:rsidRDefault="00BE0447" w:rsidP="00B0060F">
      <w:pPr>
        <w:jc w:val="both"/>
        <w:rPr>
          <w:szCs w:val="22"/>
        </w:rPr>
      </w:pPr>
      <w:r w:rsidRPr="00BE0447">
        <w:rPr>
          <w:b/>
          <w:szCs w:val="22"/>
        </w:rPr>
        <w:t xml:space="preserve">Qualcomm </w:t>
      </w:r>
      <w:r w:rsidR="00B0060F" w:rsidRPr="00A01439">
        <w:rPr>
          <w:b/>
          <w:szCs w:val="22"/>
        </w:rPr>
        <w:t xml:space="preserve">may have IPR relating to the technology described </w:t>
      </w:r>
      <w:r w:rsidR="00B0060F">
        <w:rPr>
          <w:b/>
          <w:szCs w:val="22"/>
        </w:rPr>
        <w:t xml:space="preserve">in </w:t>
      </w:r>
      <w:r w:rsidR="00B0060F" w:rsidRPr="00A01439">
        <w:rPr>
          <w:b/>
          <w:szCs w:val="22"/>
        </w:rPr>
        <w:t xml:space="preserve">this contribution and, conditioned on reciprocity, is prepared to grant licenses under reasonable and non-discriminatory terms as </w:t>
      </w:r>
      <w:r w:rsidR="00B0060F" w:rsidRPr="00A01439">
        <w:rPr>
          <w:b/>
          <w:szCs w:val="22"/>
        </w:rPr>
        <w:lastRenderedPageBreak/>
        <w:t>necessary for implementation of the resulting ITU-T Recommendation</w:t>
      </w:r>
      <w:r w:rsidR="00B0060F">
        <w:rPr>
          <w:b/>
          <w:szCs w:val="22"/>
        </w:rPr>
        <w:t xml:space="preserve"> | ISO/IEC International Standard</w:t>
      </w:r>
      <w:r w:rsidR="00B0060F" w:rsidRPr="00A01439">
        <w:rPr>
          <w:b/>
          <w:szCs w:val="22"/>
        </w:rPr>
        <w:t xml:space="preserve"> (per box 2 of the ITU-T/ITU-R/ISO/IEC patent statement and licensing declaration form).</w:t>
      </w:r>
    </w:p>
    <w:sectPr w:rsidR="00B0060F" w:rsidSect="00A041D5">
      <w:pgSz w:w="12240" w:h="15840" w:code="1"/>
      <w:pgMar w:top="864" w:right="1440" w:bottom="864" w:left="1440" w:header="432" w:footer="432" w:gutter="0"/>
      <w:pgBorders w:offsetFrom="page">
        <w:bottom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174" w:rsidRDefault="002B3174">
      <w:r>
        <w:separator/>
      </w:r>
    </w:p>
  </w:endnote>
  <w:endnote w:type="continuationSeparator" w:id="0">
    <w:p w:rsidR="002B3174" w:rsidRDefault="002B31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Tahoma"/>
    <w:panose1 w:val="02010600030101010101"/>
    <w:charset w:val="00"/>
    <w:family w:val="roman"/>
    <w:notTrueType/>
    <w:pitch w:val="default"/>
    <w:sig w:usb0="00000000" w:usb1="00000000" w:usb2="00000000" w:usb3="00000000" w:csb0="00000000"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174" w:rsidRDefault="002B3174">
      <w:r>
        <w:separator/>
      </w:r>
    </w:p>
  </w:footnote>
  <w:footnote w:type="continuationSeparator" w:id="0">
    <w:p w:rsidR="002B3174" w:rsidRDefault="002B31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344016"/>
    <w:multiLevelType w:val="hybridMultilevel"/>
    <w:tmpl w:val="7AC69ED2"/>
    <w:lvl w:ilvl="0" w:tplc="9202C880">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007970"/>
    <w:multiLevelType w:val="hybridMultilevel"/>
    <w:tmpl w:val="FA529E14"/>
    <w:lvl w:ilvl="0" w:tplc="19EE3F8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9A86C72"/>
    <w:multiLevelType w:val="hybridMultilevel"/>
    <w:tmpl w:val="63C4B4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6292F69"/>
    <w:multiLevelType w:val="hybridMultilevel"/>
    <w:tmpl w:val="3D624080"/>
    <w:lvl w:ilvl="0" w:tplc="8A0467D4">
      <w:start w:val="1"/>
      <w:numFmt w:val="decimal"/>
      <w:lvlText w:val="[%1]"/>
      <w:lvlJc w:val="left"/>
      <w:pPr>
        <w:ind w:left="720" w:hanging="360"/>
      </w:pPr>
      <w:rPr>
        <w:rFonts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5C6BB7"/>
    <w:multiLevelType w:val="hybridMultilevel"/>
    <w:tmpl w:val="24C2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29336D8"/>
    <w:multiLevelType w:val="hybridMultilevel"/>
    <w:tmpl w:val="BD2AAA56"/>
    <w:lvl w:ilvl="0" w:tplc="04090003">
      <w:start w:val="1"/>
      <w:numFmt w:val="bullet"/>
      <w:lvlText w:val=""/>
      <w:lvlJc w:val="left"/>
      <w:pPr>
        <w:ind w:left="420" w:hanging="420"/>
      </w:pPr>
      <w:rPr>
        <w:rFonts w:ascii="Wingdings" w:hAnsi="Wingdings" w:hint="default"/>
      </w:rPr>
    </w:lvl>
    <w:lvl w:ilvl="1" w:tplc="CCE27728">
      <w:start w:val="1"/>
      <w:numFmt w:val="bullet"/>
      <w:lvlText w:val="–"/>
      <w:lvlJc w:val="left"/>
      <w:pPr>
        <w:ind w:left="840" w:hanging="420"/>
      </w:pPr>
      <w:rPr>
        <w:rFonts w:ascii="Courier New" w:hAnsi="Courier New"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736300C4"/>
    <w:multiLevelType w:val="hybridMultilevel"/>
    <w:tmpl w:val="B5589DC4"/>
    <w:lvl w:ilvl="0" w:tplc="80EEC7C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CC2713F"/>
    <w:multiLevelType w:val="hybridMultilevel"/>
    <w:tmpl w:val="B2480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6"/>
  </w:num>
  <w:num w:numId="7">
    <w:abstractNumId w:val="8"/>
  </w:num>
  <w:num w:numId="8">
    <w:abstractNumId w:val="6"/>
  </w:num>
  <w:num w:numId="9">
    <w:abstractNumId w:val="2"/>
  </w:num>
  <w:num w:numId="10">
    <w:abstractNumId w:val="5"/>
  </w:num>
  <w:num w:numId="11">
    <w:abstractNumId w:val="15"/>
  </w:num>
  <w:num w:numId="12">
    <w:abstractNumId w:val="7"/>
  </w:num>
  <w:num w:numId="13">
    <w:abstractNumId w:val="14"/>
  </w:num>
  <w:num w:numId="14">
    <w:abstractNumId w:val="4"/>
  </w:num>
  <w:num w:numId="15">
    <w:abstractNumId w:val="9"/>
  </w:num>
  <w:num w:numId="16">
    <w:abstractNumId w:val="3"/>
  </w:num>
  <w:num w:numId="17">
    <w:abstractNumId w:val="1"/>
  </w:num>
  <w:num w:numId="18">
    <w:abstractNumId w:val="16"/>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237C0"/>
    <w:rsid w:val="000273CF"/>
    <w:rsid w:val="00036518"/>
    <w:rsid w:val="000445D5"/>
    <w:rsid w:val="000450C4"/>
    <w:rsid w:val="000458BC"/>
    <w:rsid w:val="00045C41"/>
    <w:rsid w:val="00046C03"/>
    <w:rsid w:val="00046CB9"/>
    <w:rsid w:val="0005212D"/>
    <w:rsid w:val="0005253D"/>
    <w:rsid w:val="00055A05"/>
    <w:rsid w:val="00067B20"/>
    <w:rsid w:val="000736C1"/>
    <w:rsid w:val="0007614F"/>
    <w:rsid w:val="00084800"/>
    <w:rsid w:val="000910BC"/>
    <w:rsid w:val="000A02EB"/>
    <w:rsid w:val="000A0B78"/>
    <w:rsid w:val="000A2ADA"/>
    <w:rsid w:val="000B1C6B"/>
    <w:rsid w:val="000B3365"/>
    <w:rsid w:val="000B51F3"/>
    <w:rsid w:val="000C09AC"/>
    <w:rsid w:val="000C3E8A"/>
    <w:rsid w:val="000C43CE"/>
    <w:rsid w:val="000C5505"/>
    <w:rsid w:val="000D0421"/>
    <w:rsid w:val="000D2465"/>
    <w:rsid w:val="000D2C3C"/>
    <w:rsid w:val="000E00F3"/>
    <w:rsid w:val="000E16DE"/>
    <w:rsid w:val="000E448A"/>
    <w:rsid w:val="000E493C"/>
    <w:rsid w:val="000F158C"/>
    <w:rsid w:val="000F1B62"/>
    <w:rsid w:val="00101A5F"/>
    <w:rsid w:val="00102B5C"/>
    <w:rsid w:val="00103D3E"/>
    <w:rsid w:val="00103D64"/>
    <w:rsid w:val="00105F9E"/>
    <w:rsid w:val="00110FA7"/>
    <w:rsid w:val="00111E75"/>
    <w:rsid w:val="00113FFE"/>
    <w:rsid w:val="00124782"/>
    <w:rsid w:val="001247FB"/>
    <w:rsid w:val="00124E38"/>
    <w:rsid w:val="0012580B"/>
    <w:rsid w:val="00125810"/>
    <w:rsid w:val="001263B4"/>
    <w:rsid w:val="0013220D"/>
    <w:rsid w:val="0013301F"/>
    <w:rsid w:val="0013467C"/>
    <w:rsid w:val="0013526E"/>
    <w:rsid w:val="0013537F"/>
    <w:rsid w:val="001472C5"/>
    <w:rsid w:val="00171371"/>
    <w:rsid w:val="00175A24"/>
    <w:rsid w:val="00180550"/>
    <w:rsid w:val="001810E4"/>
    <w:rsid w:val="00181E7E"/>
    <w:rsid w:val="0018559A"/>
    <w:rsid w:val="00185DAF"/>
    <w:rsid w:val="00187E58"/>
    <w:rsid w:val="001922C1"/>
    <w:rsid w:val="001A17A1"/>
    <w:rsid w:val="001A297E"/>
    <w:rsid w:val="001A368E"/>
    <w:rsid w:val="001A7329"/>
    <w:rsid w:val="001B4E28"/>
    <w:rsid w:val="001C2D1D"/>
    <w:rsid w:val="001C3525"/>
    <w:rsid w:val="001D1BD2"/>
    <w:rsid w:val="001D2085"/>
    <w:rsid w:val="001D2A14"/>
    <w:rsid w:val="001E02BE"/>
    <w:rsid w:val="001E2E7A"/>
    <w:rsid w:val="001E3B37"/>
    <w:rsid w:val="001E44D3"/>
    <w:rsid w:val="001E525D"/>
    <w:rsid w:val="001E5D45"/>
    <w:rsid w:val="001F2594"/>
    <w:rsid w:val="00205972"/>
    <w:rsid w:val="00206460"/>
    <w:rsid w:val="002069B4"/>
    <w:rsid w:val="00212B80"/>
    <w:rsid w:val="00215DFC"/>
    <w:rsid w:val="002175EE"/>
    <w:rsid w:val="002212DF"/>
    <w:rsid w:val="00227BA7"/>
    <w:rsid w:val="00227DA0"/>
    <w:rsid w:val="002316EB"/>
    <w:rsid w:val="0023799C"/>
    <w:rsid w:val="00240B16"/>
    <w:rsid w:val="00246F34"/>
    <w:rsid w:val="002514C4"/>
    <w:rsid w:val="00255076"/>
    <w:rsid w:val="00257551"/>
    <w:rsid w:val="00263F2D"/>
    <w:rsid w:val="00264C70"/>
    <w:rsid w:val="00266400"/>
    <w:rsid w:val="00275BCF"/>
    <w:rsid w:val="00283A4A"/>
    <w:rsid w:val="00284A27"/>
    <w:rsid w:val="00284DBF"/>
    <w:rsid w:val="00286807"/>
    <w:rsid w:val="002916B4"/>
    <w:rsid w:val="00292257"/>
    <w:rsid w:val="00293A88"/>
    <w:rsid w:val="002A5187"/>
    <w:rsid w:val="002A54E0"/>
    <w:rsid w:val="002A5813"/>
    <w:rsid w:val="002B0C18"/>
    <w:rsid w:val="002B13B8"/>
    <w:rsid w:val="002B1595"/>
    <w:rsid w:val="002B191D"/>
    <w:rsid w:val="002B3174"/>
    <w:rsid w:val="002B399E"/>
    <w:rsid w:val="002D0AF6"/>
    <w:rsid w:val="002D425E"/>
    <w:rsid w:val="002D640B"/>
    <w:rsid w:val="002D77E9"/>
    <w:rsid w:val="002D7D8F"/>
    <w:rsid w:val="002E4E7E"/>
    <w:rsid w:val="002E5B00"/>
    <w:rsid w:val="002F00CB"/>
    <w:rsid w:val="002F05FB"/>
    <w:rsid w:val="002F164D"/>
    <w:rsid w:val="002F5947"/>
    <w:rsid w:val="00306206"/>
    <w:rsid w:val="00306F04"/>
    <w:rsid w:val="00310021"/>
    <w:rsid w:val="00311686"/>
    <w:rsid w:val="00317D5A"/>
    <w:rsid w:val="00322486"/>
    <w:rsid w:val="00322AC9"/>
    <w:rsid w:val="00327C56"/>
    <w:rsid w:val="00330DED"/>
    <w:rsid w:val="003315A1"/>
    <w:rsid w:val="00335705"/>
    <w:rsid w:val="00335B32"/>
    <w:rsid w:val="00336CB8"/>
    <w:rsid w:val="003373EC"/>
    <w:rsid w:val="0034119C"/>
    <w:rsid w:val="0034578B"/>
    <w:rsid w:val="00345D59"/>
    <w:rsid w:val="00346E35"/>
    <w:rsid w:val="003472F2"/>
    <w:rsid w:val="003507E8"/>
    <w:rsid w:val="003615B4"/>
    <w:rsid w:val="00362B76"/>
    <w:rsid w:val="003706CC"/>
    <w:rsid w:val="003739C5"/>
    <w:rsid w:val="0038381D"/>
    <w:rsid w:val="003A1118"/>
    <w:rsid w:val="003A2D8E"/>
    <w:rsid w:val="003A53DF"/>
    <w:rsid w:val="003A63BE"/>
    <w:rsid w:val="003A645F"/>
    <w:rsid w:val="003B43B3"/>
    <w:rsid w:val="003B70C5"/>
    <w:rsid w:val="003C20E4"/>
    <w:rsid w:val="003C6956"/>
    <w:rsid w:val="003E4440"/>
    <w:rsid w:val="003E6F90"/>
    <w:rsid w:val="003F08B2"/>
    <w:rsid w:val="003F0AD6"/>
    <w:rsid w:val="003F22E0"/>
    <w:rsid w:val="003F2B66"/>
    <w:rsid w:val="003F3575"/>
    <w:rsid w:val="003F5D0F"/>
    <w:rsid w:val="003F72DF"/>
    <w:rsid w:val="004022EE"/>
    <w:rsid w:val="00402C66"/>
    <w:rsid w:val="004057D9"/>
    <w:rsid w:val="004063C1"/>
    <w:rsid w:val="00414101"/>
    <w:rsid w:val="00417D79"/>
    <w:rsid w:val="00430BBB"/>
    <w:rsid w:val="00433DDB"/>
    <w:rsid w:val="00437619"/>
    <w:rsid w:val="004479CD"/>
    <w:rsid w:val="00451F3C"/>
    <w:rsid w:val="0045556C"/>
    <w:rsid w:val="0048305A"/>
    <w:rsid w:val="00485847"/>
    <w:rsid w:val="00486A4C"/>
    <w:rsid w:val="004B1C63"/>
    <w:rsid w:val="004B210C"/>
    <w:rsid w:val="004B2280"/>
    <w:rsid w:val="004B7892"/>
    <w:rsid w:val="004B7EDC"/>
    <w:rsid w:val="004C08AF"/>
    <w:rsid w:val="004D1AA0"/>
    <w:rsid w:val="004D405F"/>
    <w:rsid w:val="004E11BA"/>
    <w:rsid w:val="004E2C20"/>
    <w:rsid w:val="004E4BED"/>
    <w:rsid w:val="004E7058"/>
    <w:rsid w:val="004E7144"/>
    <w:rsid w:val="004E7D03"/>
    <w:rsid w:val="004F61E3"/>
    <w:rsid w:val="004F755B"/>
    <w:rsid w:val="00500EA4"/>
    <w:rsid w:val="0050214C"/>
    <w:rsid w:val="005040B6"/>
    <w:rsid w:val="0051015C"/>
    <w:rsid w:val="005127C9"/>
    <w:rsid w:val="00521F41"/>
    <w:rsid w:val="00522F1F"/>
    <w:rsid w:val="00523058"/>
    <w:rsid w:val="005310BC"/>
    <w:rsid w:val="00531AE9"/>
    <w:rsid w:val="005350F1"/>
    <w:rsid w:val="005356DB"/>
    <w:rsid w:val="005358D5"/>
    <w:rsid w:val="005443AE"/>
    <w:rsid w:val="0054602A"/>
    <w:rsid w:val="00547F73"/>
    <w:rsid w:val="00551EBF"/>
    <w:rsid w:val="00563CD5"/>
    <w:rsid w:val="0056698C"/>
    <w:rsid w:val="005670E3"/>
    <w:rsid w:val="00567EC7"/>
    <w:rsid w:val="00570013"/>
    <w:rsid w:val="0057407A"/>
    <w:rsid w:val="005817E3"/>
    <w:rsid w:val="0059794E"/>
    <w:rsid w:val="005A22BD"/>
    <w:rsid w:val="005A33A1"/>
    <w:rsid w:val="005B450F"/>
    <w:rsid w:val="005C1DDE"/>
    <w:rsid w:val="005C2A2C"/>
    <w:rsid w:val="005C2DFA"/>
    <w:rsid w:val="005C2F8D"/>
    <w:rsid w:val="005C385F"/>
    <w:rsid w:val="005C575E"/>
    <w:rsid w:val="005C5CA4"/>
    <w:rsid w:val="005D410F"/>
    <w:rsid w:val="005D63DD"/>
    <w:rsid w:val="005F460A"/>
    <w:rsid w:val="005F6F1B"/>
    <w:rsid w:val="005F78D4"/>
    <w:rsid w:val="006033E1"/>
    <w:rsid w:val="006043CF"/>
    <w:rsid w:val="00605CE5"/>
    <w:rsid w:val="00613009"/>
    <w:rsid w:val="006139B0"/>
    <w:rsid w:val="00624B33"/>
    <w:rsid w:val="006278A6"/>
    <w:rsid w:val="00627BFF"/>
    <w:rsid w:val="00627F79"/>
    <w:rsid w:val="00636ED4"/>
    <w:rsid w:val="00640DF1"/>
    <w:rsid w:val="00646707"/>
    <w:rsid w:val="00647EE3"/>
    <w:rsid w:val="0065065C"/>
    <w:rsid w:val="0066287E"/>
    <w:rsid w:val="00662D4C"/>
    <w:rsid w:val="00664DCF"/>
    <w:rsid w:val="00672BCE"/>
    <w:rsid w:val="0067596A"/>
    <w:rsid w:val="00675D29"/>
    <w:rsid w:val="00680585"/>
    <w:rsid w:val="00685B10"/>
    <w:rsid w:val="00694D8B"/>
    <w:rsid w:val="006969EB"/>
    <w:rsid w:val="006A4735"/>
    <w:rsid w:val="006B0593"/>
    <w:rsid w:val="006C0A5E"/>
    <w:rsid w:val="006C4DF0"/>
    <w:rsid w:val="006C5D39"/>
    <w:rsid w:val="006D3FE6"/>
    <w:rsid w:val="006D52BB"/>
    <w:rsid w:val="006E2810"/>
    <w:rsid w:val="006E5417"/>
    <w:rsid w:val="006E6536"/>
    <w:rsid w:val="006E7A7F"/>
    <w:rsid w:val="006E7D22"/>
    <w:rsid w:val="006F4649"/>
    <w:rsid w:val="007011B7"/>
    <w:rsid w:val="00705008"/>
    <w:rsid w:val="00707345"/>
    <w:rsid w:val="007078FB"/>
    <w:rsid w:val="007101D8"/>
    <w:rsid w:val="007115F3"/>
    <w:rsid w:val="00712F60"/>
    <w:rsid w:val="007151EF"/>
    <w:rsid w:val="00720E3B"/>
    <w:rsid w:val="00722292"/>
    <w:rsid w:val="007272D1"/>
    <w:rsid w:val="00727366"/>
    <w:rsid w:val="00745F6B"/>
    <w:rsid w:val="00746CA4"/>
    <w:rsid w:val="0075057A"/>
    <w:rsid w:val="0075342A"/>
    <w:rsid w:val="00753AA8"/>
    <w:rsid w:val="0075417D"/>
    <w:rsid w:val="0075585E"/>
    <w:rsid w:val="00760048"/>
    <w:rsid w:val="00760697"/>
    <w:rsid w:val="00763DD9"/>
    <w:rsid w:val="0077435F"/>
    <w:rsid w:val="00775AF3"/>
    <w:rsid w:val="00775E0A"/>
    <w:rsid w:val="007768FF"/>
    <w:rsid w:val="00776D63"/>
    <w:rsid w:val="007818F7"/>
    <w:rsid w:val="007824D3"/>
    <w:rsid w:val="00783C1D"/>
    <w:rsid w:val="00785A32"/>
    <w:rsid w:val="00786DEE"/>
    <w:rsid w:val="00787F74"/>
    <w:rsid w:val="00791C8F"/>
    <w:rsid w:val="00796EE3"/>
    <w:rsid w:val="007A0432"/>
    <w:rsid w:val="007A5866"/>
    <w:rsid w:val="007A7D29"/>
    <w:rsid w:val="007C21F5"/>
    <w:rsid w:val="007C69F4"/>
    <w:rsid w:val="007E2057"/>
    <w:rsid w:val="007F1F8B"/>
    <w:rsid w:val="008022F1"/>
    <w:rsid w:val="008033F4"/>
    <w:rsid w:val="00806A5C"/>
    <w:rsid w:val="00810372"/>
    <w:rsid w:val="00820567"/>
    <w:rsid w:val="008206C8"/>
    <w:rsid w:val="00821713"/>
    <w:rsid w:val="0082192F"/>
    <w:rsid w:val="0082690D"/>
    <w:rsid w:val="00827541"/>
    <w:rsid w:val="0083208E"/>
    <w:rsid w:val="008325CF"/>
    <w:rsid w:val="00837F79"/>
    <w:rsid w:val="00845F2A"/>
    <w:rsid w:val="008516A4"/>
    <w:rsid w:val="00856829"/>
    <w:rsid w:val="0087367A"/>
    <w:rsid w:val="00874A6C"/>
    <w:rsid w:val="00876C65"/>
    <w:rsid w:val="0088191F"/>
    <w:rsid w:val="00890427"/>
    <w:rsid w:val="008A0F58"/>
    <w:rsid w:val="008A205F"/>
    <w:rsid w:val="008A278A"/>
    <w:rsid w:val="008A4B4C"/>
    <w:rsid w:val="008B07FF"/>
    <w:rsid w:val="008B2A80"/>
    <w:rsid w:val="008B40EB"/>
    <w:rsid w:val="008B669E"/>
    <w:rsid w:val="008C239F"/>
    <w:rsid w:val="008D7602"/>
    <w:rsid w:val="008F1581"/>
    <w:rsid w:val="00904E61"/>
    <w:rsid w:val="00906EEC"/>
    <w:rsid w:val="00907757"/>
    <w:rsid w:val="00910D77"/>
    <w:rsid w:val="00911EDA"/>
    <w:rsid w:val="0091795A"/>
    <w:rsid w:val="009212B0"/>
    <w:rsid w:val="009228B8"/>
    <w:rsid w:val="009234A5"/>
    <w:rsid w:val="009271B8"/>
    <w:rsid w:val="00931C7C"/>
    <w:rsid w:val="009336F7"/>
    <w:rsid w:val="009374A7"/>
    <w:rsid w:val="00942E95"/>
    <w:rsid w:val="00944272"/>
    <w:rsid w:val="009537FB"/>
    <w:rsid w:val="009576A8"/>
    <w:rsid w:val="00964177"/>
    <w:rsid w:val="009811FE"/>
    <w:rsid w:val="00991BF9"/>
    <w:rsid w:val="0099518F"/>
    <w:rsid w:val="009A523D"/>
    <w:rsid w:val="009B5205"/>
    <w:rsid w:val="009B6080"/>
    <w:rsid w:val="009D10EB"/>
    <w:rsid w:val="009E2527"/>
    <w:rsid w:val="009F0AAB"/>
    <w:rsid w:val="009F1260"/>
    <w:rsid w:val="009F1E60"/>
    <w:rsid w:val="009F20BE"/>
    <w:rsid w:val="009F496B"/>
    <w:rsid w:val="00A01439"/>
    <w:rsid w:val="00A01CE8"/>
    <w:rsid w:val="00A02E61"/>
    <w:rsid w:val="00A041D5"/>
    <w:rsid w:val="00A04B3A"/>
    <w:rsid w:val="00A05CFF"/>
    <w:rsid w:val="00A123D8"/>
    <w:rsid w:val="00A12EA7"/>
    <w:rsid w:val="00A162A3"/>
    <w:rsid w:val="00A201B1"/>
    <w:rsid w:val="00A20FE3"/>
    <w:rsid w:val="00A314F7"/>
    <w:rsid w:val="00A32159"/>
    <w:rsid w:val="00A5270E"/>
    <w:rsid w:val="00A53C23"/>
    <w:rsid w:val="00A53FD5"/>
    <w:rsid w:val="00A5520B"/>
    <w:rsid w:val="00A56B97"/>
    <w:rsid w:val="00A6093D"/>
    <w:rsid w:val="00A6624F"/>
    <w:rsid w:val="00A66C00"/>
    <w:rsid w:val="00A70C1C"/>
    <w:rsid w:val="00A76A6D"/>
    <w:rsid w:val="00A76DB9"/>
    <w:rsid w:val="00A77746"/>
    <w:rsid w:val="00A81F1E"/>
    <w:rsid w:val="00A83253"/>
    <w:rsid w:val="00A84A3D"/>
    <w:rsid w:val="00AA36D1"/>
    <w:rsid w:val="00AA3DAF"/>
    <w:rsid w:val="00AA68E8"/>
    <w:rsid w:val="00AA6B61"/>
    <w:rsid w:val="00AA6E84"/>
    <w:rsid w:val="00AB3879"/>
    <w:rsid w:val="00AC574B"/>
    <w:rsid w:val="00AD28E5"/>
    <w:rsid w:val="00AE0478"/>
    <w:rsid w:val="00AE341B"/>
    <w:rsid w:val="00AE793E"/>
    <w:rsid w:val="00AF00B9"/>
    <w:rsid w:val="00AF4DC6"/>
    <w:rsid w:val="00AF7710"/>
    <w:rsid w:val="00B0060F"/>
    <w:rsid w:val="00B00799"/>
    <w:rsid w:val="00B046F6"/>
    <w:rsid w:val="00B0733E"/>
    <w:rsid w:val="00B07CA7"/>
    <w:rsid w:val="00B122ED"/>
    <w:rsid w:val="00B124BE"/>
    <w:rsid w:val="00B1279A"/>
    <w:rsid w:val="00B16867"/>
    <w:rsid w:val="00B204CD"/>
    <w:rsid w:val="00B30081"/>
    <w:rsid w:val="00B30177"/>
    <w:rsid w:val="00B31AF2"/>
    <w:rsid w:val="00B341FC"/>
    <w:rsid w:val="00B375E8"/>
    <w:rsid w:val="00B37B33"/>
    <w:rsid w:val="00B42AF1"/>
    <w:rsid w:val="00B45723"/>
    <w:rsid w:val="00B45CE4"/>
    <w:rsid w:val="00B51C2A"/>
    <w:rsid w:val="00B5222E"/>
    <w:rsid w:val="00B529E6"/>
    <w:rsid w:val="00B61C96"/>
    <w:rsid w:val="00B62374"/>
    <w:rsid w:val="00B651B6"/>
    <w:rsid w:val="00B726EF"/>
    <w:rsid w:val="00B75083"/>
    <w:rsid w:val="00B76DEA"/>
    <w:rsid w:val="00B916DD"/>
    <w:rsid w:val="00B94B06"/>
    <w:rsid w:val="00B94C28"/>
    <w:rsid w:val="00BB44E5"/>
    <w:rsid w:val="00BC10BA"/>
    <w:rsid w:val="00BC3314"/>
    <w:rsid w:val="00BC5AFD"/>
    <w:rsid w:val="00BC6E05"/>
    <w:rsid w:val="00BD0A6D"/>
    <w:rsid w:val="00BE0447"/>
    <w:rsid w:val="00BE0B83"/>
    <w:rsid w:val="00BE516A"/>
    <w:rsid w:val="00BE6E28"/>
    <w:rsid w:val="00BE7C22"/>
    <w:rsid w:val="00C010E0"/>
    <w:rsid w:val="00C0609D"/>
    <w:rsid w:val="00C0657A"/>
    <w:rsid w:val="00C0661B"/>
    <w:rsid w:val="00C115AB"/>
    <w:rsid w:val="00C11749"/>
    <w:rsid w:val="00C17A11"/>
    <w:rsid w:val="00C251C9"/>
    <w:rsid w:val="00C30249"/>
    <w:rsid w:val="00C31A1A"/>
    <w:rsid w:val="00C35C8F"/>
    <w:rsid w:val="00C35E9A"/>
    <w:rsid w:val="00C37F6F"/>
    <w:rsid w:val="00C44753"/>
    <w:rsid w:val="00C51EFC"/>
    <w:rsid w:val="00C538D5"/>
    <w:rsid w:val="00C53C08"/>
    <w:rsid w:val="00C606C9"/>
    <w:rsid w:val="00C63E25"/>
    <w:rsid w:val="00C65BC8"/>
    <w:rsid w:val="00C833E3"/>
    <w:rsid w:val="00C90650"/>
    <w:rsid w:val="00C97D78"/>
    <w:rsid w:val="00CA2023"/>
    <w:rsid w:val="00CA61BF"/>
    <w:rsid w:val="00CA6211"/>
    <w:rsid w:val="00CB0C14"/>
    <w:rsid w:val="00CB2A70"/>
    <w:rsid w:val="00CB4335"/>
    <w:rsid w:val="00CB704F"/>
    <w:rsid w:val="00CB76C3"/>
    <w:rsid w:val="00CC48CA"/>
    <w:rsid w:val="00CC5A42"/>
    <w:rsid w:val="00CD0EAB"/>
    <w:rsid w:val="00CE137F"/>
    <w:rsid w:val="00CF34DB"/>
    <w:rsid w:val="00CF558F"/>
    <w:rsid w:val="00D04236"/>
    <w:rsid w:val="00D073E2"/>
    <w:rsid w:val="00D12C54"/>
    <w:rsid w:val="00D178C9"/>
    <w:rsid w:val="00D446EC"/>
    <w:rsid w:val="00D51BF0"/>
    <w:rsid w:val="00D54A42"/>
    <w:rsid w:val="00D55942"/>
    <w:rsid w:val="00D565C2"/>
    <w:rsid w:val="00D807BF"/>
    <w:rsid w:val="00D952BF"/>
    <w:rsid w:val="00DA7887"/>
    <w:rsid w:val="00DB1A19"/>
    <w:rsid w:val="00DB2C26"/>
    <w:rsid w:val="00DB47D1"/>
    <w:rsid w:val="00DB4DCC"/>
    <w:rsid w:val="00DB6431"/>
    <w:rsid w:val="00DC034B"/>
    <w:rsid w:val="00DC3627"/>
    <w:rsid w:val="00DC79CF"/>
    <w:rsid w:val="00DD0F9E"/>
    <w:rsid w:val="00DD5D34"/>
    <w:rsid w:val="00DD5EE6"/>
    <w:rsid w:val="00DE2C11"/>
    <w:rsid w:val="00DE3E66"/>
    <w:rsid w:val="00DE4044"/>
    <w:rsid w:val="00DE62E4"/>
    <w:rsid w:val="00DE6B43"/>
    <w:rsid w:val="00DF0882"/>
    <w:rsid w:val="00DF3D7E"/>
    <w:rsid w:val="00E02413"/>
    <w:rsid w:val="00E05277"/>
    <w:rsid w:val="00E1283F"/>
    <w:rsid w:val="00E155D8"/>
    <w:rsid w:val="00E2049C"/>
    <w:rsid w:val="00E215EE"/>
    <w:rsid w:val="00E217FE"/>
    <w:rsid w:val="00E232E9"/>
    <w:rsid w:val="00E262D4"/>
    <w:rsid w:val="00E34784"/>
    <w:rsid w:val="00E36250"/>
    <w:rsid w:val="00E3658D"/>
    <w:rsid w:val="00E36DDE"/>
    <w:rsid w:val="00E45DB3"/>
    <w:rsid w:val="00E54511"/>
    <w:rsid w:val="00E61DAC"/>
    <w:rsid w:val="00E71B86"/>
    <w:rsid w:val="00E75FE3"/>
    <w:rsid w:val="00E76DC8"/>
    <w:rsid w:val="00E82BF3"/>
    <w:rsid w:val="00E837E8"/>
    <w:rsid w:val="00E83CB2"/>
    <w:rsid w:val="00E83E84"/>
    <w:rsid w:val="00E90220"/>
    <w:rsid w:val="00E958B3"/>
    <w:rsid w:val="00EB07B0"/>
    <w:rsid w:val="00EB2604"/>
    <w:rsid w:val="00EB7AB1"/>
    <w:rsid w:val="00EC3887"/>
    <w:rsid w:val="00ED4A55"/>
    <w:rsid w:val="00EE4E37"/>
    <w:rsid w:val="00EF3831"/>
    <w:rsid w:val="00EF48CC"/>
    <w:rsid w:val="00EF4D3C"/>
    <w:rsid w:val="00F0024E"/>
    <w:rsid w:val="00F133E1"/>
    <w:rsid w:val="00F1398C"/>
    <w:rsid w:val="00F21AE3"/>
    <w:rsid w:val="00F26B79"/>
    <w:rsid w:val="00F41892"/>
    <w:rsid w:val="00F4352F"/>
    <w:rsid w:val="00F43AED"/>
    <w:rsid w:val="00F44686"/>
    <w:rsid w:val="00F52B4F"/>
    <w:rsid w:val="00F5313E"/>
    <w:rsid w:val="00F60AA0"/>
    <w:rsid w:val="00F662C6"/>
    <w:rsid w:val="00F700C8"/>
    <w:rsid w:val="00F707DF"/>
    <w:rsid w:val="00F70F2F"/>
    <w:rsid w:val="00F73032"/>
    <w:rsid w:val="00F773F9"/>
    <w:rsid w:val="00F81F66"/>
    <w:rsid w:val="00F848FC"/>
    <w:rsid w:val="00F86BDB"/>
    <w:rsid w:val="00F9282A"/>
    <w:rsid w:val="00F9386F"/>
    <w:rsid w:val="00F96BAD"/>
    <w:rsid w:val="00FA0135"/>
    <w:rsid w:val="00FA0A99"/>
    <w:rsid w:val="00FB0E84"/>
    <w:rsid w:val="00FB3734"/>
    <w:rsid w:val="00FB5326"/>
    <w:rsid w:val="00FB7314"/>
    <w:rsid w:val="00FC1DFC"/>
    <w:rsid w:val="00FD01C2"/>
    <w:rsid w:val="00FD2062"/>
    <w:rsid w:val="00FD2DE9"/>
    <w:rsid w:val="00FD4826"/>
    <w:rsid w:val="00FD5929"/>
    <w:rsid w:val="00FE0361"/>
    <w:rsid w:val="00FE21D6"/>
    <w:rsid w:val="00FE2710"/>
    <w:rsid w:val="00FE3366"/>
    <w:rsid w:val="00FE47D3"/>
    <w:rsid w:val="00FE5A2E"/>
    <w:rsid w:val="00FF0CE3"/>
    <w:rsid w:val="00FF1B05"/>
    <w:rsid w:val="00FF4A07"/>
    <w:rsid w:val="00FF5D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qFormat/>
    <w:rsid w:val="000E00F3"/>
    <w:pPr>
      <w:keepNext/>
      <w:numPr>
        <w:numId w:val="6"/>
      </w:numPr>
      <w:spacing w:before="240" w:after="60"/>
      <w:outlineLvl w:val="0"/>
    </w:pPr>
    <w:rPr>
      <w:rFonts w:ascii="Times New Roman Bold" w:hAnsi="Times New Roman Bold" w:cs="Arial"/>
      <w:b/>
      <w:bCs/>
      <w:kern w:val="32"/>
      <w:sz w:val="32"/>
      <w:szCs w:val="32"/>
    </w:rPr>
  </w:style>
  <w:style w:type="paragraph" w:styleId="Heading2">
    <w:name w:val="heading 2"/>
    <w:basedOn w:val="Normal"/>
    <w:next w:val="Normal"/>
    <w:link w:val="Heading2Char"/>
    <w:qFormat/>
    <w:rsid w:val="000E00F3"/>
    <w:pPr>
      <w:keepNext/>
      <w:numPr>
        <w:ilvl w:val="1"/>
        <w:numId w:val="6"/>
      </w:numPr>
      <w:tabs>
        <w:tab w:val="clear" w:pos="360"/>
      </w:tabs>
      <w:spacing w:before="240" w:after="60"/>
      <w:ind w:left="720" w:hanging="720"/>
      <w:outlineLvl w:val="1"/>
    </w:pPr>
    <w:rPr>
      <w:rFonts w:ascii="Times New Roman Bold" w:hAnsi="Times New Roman Bold"/>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537FB"/>
    <w:pPr>
      <w:tabs>
        <w:tab w:val="center" w:pos="4320"/>
        <w:tab w:val="right" w:pos="8640"/>
      </w:tabs>
    </w:pPr>
  </w:style>
  <w:style w:type="paragraph" w:styleId="Footer">
    <w:name w:val="footer"/>
    <w:basedOn w:val="Normal"/>
    <w:link w:val="FooterChar"/>
    <w:uiPriority w:val="99"/>
    <w:rsid w:val="009537FB"/>
    <w:pPr>
      <w:tabs>
        <w:tab w:val="center" w:pos="4320"/>
        <w:tab w:val="right" w:pos="8640"/>
      </w:tabs>
    </w:pPr>
  </w:style>
  <w:style w:type="character" w:styleId="PageNumber">
    <w:name w:val="page number"/>
    <w:basedOn w:val="DefaultParagraphFont"/>
    <w:rsid w:val="009537FB"/>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0E00F3"/>
    <w:rPr>
      <w:rFonts w:ascii="Times New Roman Bold" w:hAnsi="Times New Roman Bold"/>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aliases w:val="Heading 4 Char1 Char,Heading 4 Char Char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cs="Times New Roman"/>
      <w:szCs w:val="20"/>
    </w:rPr>
  </w:style>
  <w:style w:type="table" w:styleId="TableGrid">
    <w:name w:val="Table Grid"/>
    <w:basedOn w:val="TableNormal"/>
    <w:rsid w:val="00B42A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qFormat/>
    <w:rsid w:val="00B37B33"/>
    <w:pPr>
      <w:tabs>
        <w:tab w:val="clear" w:pos="360"/>
        <w:tab w:val="clear" w:pos="720"/>
        <w:tab w:val="clear" w:pos="1080"/>
        <w:tab w:val="clear" w:pos="1440"/>
      </w:tabs>
      <w:overflowPunct/>
      <w:autoSpaceDE/>
      <w:autoSpaceDN/>
      <w:adjustRightInd/>
      <w:spacing w:before="0"/>
      <w:textAlignment w:val="auto"/>
    </w:pPr>
    <w:rPr>
      <w:b/>
      <w:bCs/>
      <w:sz w:val="20"/>
    </w:rPr>
  </w:style>
  <w:style w:type="character" w:customStyle="1" w:styleId="CaptionChar">
    <w:name w:val="Caption Char"/>
    <w:basedOn w:val="DefaultParagraphFont"/>
    <w:link w:val="Caption"/>
    <w:rsid w:val="00B37B33"/>
    <w:rPr>
      <w:rFonts w:eastAsia="SimSun"/>
      <w:b/>
      <w:bCs/>
      <w:lang w:val="en-US" w:eastAsia="en-US"/>
    </w:rPr>
  </w:style>
  <w:style w:type="character" w:styleId="CommentReference">
    <w:name w:val="annotation reference"/>
    <w:basedOn w:val="DefaultParagraphFont"/>
    <w:rsid w:val="00212B80"/>
    <w:rPr>
      <w:sz w:val="16"/>
      <w:szCs w:val="16"/>
    </w:rPr>
  </w:style>
  <w:style w:type="paragraph" w:styleId="CommentText">
    <w:name w:val="annotation text"/>
    <w:basedOn w:val="Normal"/>
    <w:link w:val="CommentTextChar"/>
    <w:rsid w:val="00212B80"/>
    <w:rPr>
      <w:sz w:val="20"/>
    </w:rPr>
  </w:style>
  <w:style w:type="character" w:customStyle="1" w:styleId="CommentTextChar">
    <w:name w:val="Comment Text Char"/>
    <w:basedOn w:val="DefaultParagraphFont"/>
    <w:link w:val="CommentText"/>
    <w:rsid w:val="00212B80"/>
    <w:rPr>
      <w:lang w:val="en-US" w:eastAsia="en-US"/>
    </w:rPr>
  </w:style>
  <w:style w:type="paragraph" w:styleId="CommentSubject">
    <w:name w:val="annotation subject"/>
    <w:basedOn w:val="CommentText"/>
    <w:next w:val="CommentText"/>
    <w:link w:val="CommentSubjectChar"/>
    <w:rsid w:val="00212B80"/>
    <w:rPr>
      <w:b/>
      <w:bCs/>
    </w:rPr>
  </w:style>
  <w:style w:type="character" w:customStyle="1" w:styleId="CommentSubjectChar">
    <w:name w:val="Comment Subject Char"/>
    <w:basedOn w:val="CommentTextChar"/>
    <w:link w:val="CommentSubject"/>
    <w:rsid w:val="00212B80"/>
    <w:rPr>
      <w:b/>
      <w:bCs/>
    </w:rPr>
  </w:style>
  <w:style w:type="paragraph" w:customStyle="1" w:styleId="Equation">
    <w:name w:val="Equation"/>
    <w:basedOn w:val="Normal"/>
    <w:rsid w:val="00B62374"/>
    <w:pPr>
      <w:tabs>
        <w:tab w:val="clear" w:pos="360"/>
        <w:tab w:val="clear" w:pos="720"/>
        <w:tab w:val="clear" w:pos="1080"/>
        <w:tab w:val="clear" w:pos="1440"/>
        <w:tab w:val="left" w:pos="794"/>
        <w:tab w:val="left" w:pos="1588"/>
        <w:tab w:val="center" w:pos="4849"/>
        <w:tab w:val="right" w:pos="9696"/>
      </w:tabs>
      <w:spacing w:before="193" w:after="240"/>
    </w:pPr>
    <w:rPr>
      <w:rFonts w:eastAsia="Times New Roman"/>
      <w:szCs w:val="22"/>
      <w:lang w:val="en-GB"/>
    </w:rPr>
  </w:style>
  <w:style w:type="character" w:styleId="PlaceholderText">
    <w:name w:val="Placeholder Text"/>
    <w:basedOn w:val="DefaultParagraphFont"/>
    <w:uiPriority w:val="99"/>
    <w:semiHidden/>
    <w:rsid w:val="00DD5D34"/>
    <w:rPr>
      <w:color w:val="808080"/>
    </w:rPr>
  </w:style>
  <w:style w:type="character" w:customStyle="1" w:styleId="FooterChar">
    <w:name w:val="Footer Char"/>
    <w:basedOn w:val="DefaultParagraphFont"/>
    <w:link w:val="Footer"/>
    <w:uiPriority w:val="99"/>
    <w:rsid w:val="00991BF9"/>
    <w:rPr>
      <w:sz w:val="22"/>
    </w:rPr>
  </w:style>
  <w:style w:type="paragraph" w:styleId="FootnoteText">
    <w:name w:val="footnote text"/>
    <w:basedOn w:val="Normal"/>
    <w:link w:val="FootnoteTextChar"/>
    <w:rsid w:val="00125810"/>
    <w:pPr>
      <w:spacing w:before="0"/>
    </w:pPr>
    <w:rPr>
      <w:sz w:val="20"/>
    </w:rPr>
  </w:style>
  <w:style w:type="character" w:customStyle="1" w:styleId="FootnoteTextChar">
    <w:name w:val="Footnote Text Char"/>
    <w:basedOn w:val="DefaultParagraphFont"/>
    <w:link w:val="FootnoteText"/>
    <w:rsid w:val="00125810"/>
  </w:style>
  <w:style w:type="character" w:styleId="FootnoteReference">
    <w:name w:val="footnote reference"/>
    <w:basedOn w:val="DefaultParagraphFont"/>
    <w:rsid w:val="00125810"/>
    <w:rPr>
      <w:vertAlign w:val="superscript"/>
    </w:rPr>
  </w:style>
  <w:style w:type="paragraph" w:styleId="ListParagraph">
    <w:name w:val="List Paragraph"/>
    <w:basedOn w:val="Normal"/>
    <w:uiPriority w:val="34"/>
    <w:qFormat/>
    <w:rsid w:val="005443AE"/>
    <w:pPr>
      <w:ind w:left="720"/>
      <w:contextualSpacing/>
    </w:pPr>
  </w:style>
  <w:style w:type="paragraph" w:customStyle="1" w:styleId="Note1">
    <w:name w:val="Note 1"/>
    <w:basedOn w:val="Normal"/>
    <w:rsid w:val="00E155D8"/>
    <w:pPr>
      <w:tabs>
        <w:tab w:val="clear" w:pos="360"/>
        <w:tab w:val="clear" w:pos="720"/>
        <w:tab w:val="clear" w:pos="1080"/>
        <w:tab w:val="clear" w:pos="1440"/>
      </w:tabs>
      <w:spacing w:before="60" w:line="199" w:lineRule="exact"/>
      <w:ind w:left="284"/>
      <w:jc w:val="both"/>
    </w:pPr>
    <w:rPr>
      <w:rFonts w:eastAsia="Times New Roman"/>
      <w:sz w:val="18"/>
      <w:szCs w:val="18"/>
      <w:lang w:val="en-GB"/>
    </w:rPr>
  </w:style>
  <w:style w:type="paragraph" w:customStyle="1" w:styleId="tableheading">
    <w:name w:val="table heading"/>
    <w:basedOn w:val="Normal"/>
    <w:rsid w:val="00E155D8"/>
    <w:pPr>
      <w:keepNext/>
      <w:keepLines/>
      <w:tabs>
        <w:tab w:val="clear" w:pos="360"/>
        <w:tab w:val="clear" w:pos="720"/>
        <w:tab w:val="clear" w:pos="1080"/>
        <w:tab w:val="clear" w:pos="1440"/>
      </w:tabs>
      <w:spacing w:before="0" w:after="60"/>
      <w:jc w:val="both"/>
    </w:pPr>
    <w:rPr>
      <w:rFonts w:eastAsia="Times New Roman"/>
      <w:b/>
      <w:bCs/>
      <w:sz w:val="20"/>
      <w:lang w:val="en-GB"/>
    </w:rPr>
  </w:style>
  <w:style w:type="paragraph" w:customStyle="1" w:styleId="tablecell">
    <w:name w:val="table cell"/>
    <w:basedOn w:val="Normal"/>
    <w:rsid w:val="00E155D8"/>
    <w:pPr>
      <w:keepNext/>
      <w:keepLines/>
      <w:tabs>
        <w:tab w:val="clear" w:pos="360"/>
        <w:tab w:val="clear" w:pos="720"/>
        <w:tab w:val="clear" w:pos="1080"/>
        <w:tab w:val="clear" w:pos="1440"/>
      </w:tabs>
      <w:spacing w:before="0" w:after="60"/>
      <w:jc w:val="both"/>
    </w:pPr>
    <w:rPr>
      <w:rFonts w:eastAsia="Times New Roman"/>
      <w:sz w:val="20"/>
      <w:lang w:val="en-GB"/>
    </w:rPr>
  </w:style>
  <w:style w:type="paragraph" w:customStyle="1" w:styleId="tablesyntax">
    <w:name w:val="table syntax"/>
    <w:basedOn w:val="Normal"/>
    <w:rsid w:val="00E155D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Times New Roman"/>
      <w:sz w:val="20"/>
      <w:lang w:val="en-GB"/>
    </w:rPr>
  </w:style>
</w:styles>
</file>

<file path=word/webSettings.xml><?xml version="1.0" encoding="utf-8"?>
<w:webSettings xmlns:r="http://schemas.openxmlformats.org/officeDocument/2006/relationships" xmlns:w="http://schemas.openxmlformats.org/wordprocessingml/2006/main">
  <w:divs>
    <w:div w:id="106316366">
      <w:bodyDiv w:val="1"/>
      <w:marLeft w:val="0"/>
      <w:marRight w:val="0"/>
      <w:marTop w:val="0"/>
      <w:marBottom w:val="0"/>
      <w:divBdr>
        <w:top w:val="none" w:sz="0" w:space="0" w:color="auto"/>
        <w:left w:val="none" w:sz="0" w:space="0" w:color="auto"/>
        <w:bottom w:val="none" w:sz="0" w:space="0" w:color="auto"/>
        <w:right w:val="none" w:sz="0" w:space="0" w:color="auto"/>
      </w:divBdr>
    </w:div>
    <w:div w:id="229776808">
      <w:bodyDiv w:val="1"/>
      <w:marLeft w:val="0"/>
      <w:marRight w:val="0"/>
      <w:marTop w:val="0"/>
      <w:marBottom w:val="0"/>
      <w:divBdr>
        <w:top w:val="none" w:sz="0" w:space="0" w:color="auto"/>
        <w:left w:val="none" w:sz="0" w:space="0" w:color="auto"/>
        <w:bottom w:val="none" w:sz="0" w:space="0" w:color="auto"/>
        <w:right w:val="none" w:sz="0" w:space="0" w:color="auto"/>
      </w:divBdr>
    </w:div>
    <w:div w:id="358118679">
      <w:bodyDiv w:val="1"/>
      <w:marLeft w:val="0"/>
      <w:marRight w:val="0"/>
      <w:marTop w:val="0"/>
      <w:marBottom w:val="0"/>
      <w:divBdr>
        <w:top w:val="none" w:sz="0" w:space="0" w:color="auto"/>
        <w:left w:val="none" w:sz="0" w:space="0" w:color="auto"/>
        <w:bottom w:val="none" w:sz="0" w:space="0" w:color="auto"/>
        <w:right w:val="none" w:sz="0" w:space="0" w:color="auto"/>
      </w:divBdr>
    </w:div>
    <w:div w:id="487669085">
      <w:bodyDiv w:val="1"/>
      <w:marLeft w:val="0"/>
      <w:marRight w:val="0"/>
      <w:marTop w:val="0"/>
      <w:marBottom w:val="0"/>
      <w:divBdr>
        <w:top w:val="none" w:sz="0" w:space="0" w:color="auto"/>
        <w:left w:val="none" w:sz="0" w:space="0" w:color="auto"/>
        <w:bottom w:val="none" w:sz="0" w:space="0" w:color="auto"/>
        <w:right w:val="none" w:sz="0" w:space="0" w:color="auto"/>
      </w:divBdr>
    </w:div>
    <w:div w:id="600647384">
      <w:bodyDiv w:val="1"/>
      <w:marLeft w:val="0"/>
      <w:marRight w:val="0"/>
      <w:marTop w:val="0"/>
      <w:marBottom w:val="0"/>
      <w:divBdr>
        <w:top w:val="none" w:sz="0" w:space="0" w:color="auto"/>
        <w:left w:val="none" w:sz="0" w:space="0" w:color="auto"/>
        <w:bottom w:val="none" w:sz="0" w:space="0" w:color="auto"/>
        <w:right w:val="none" w:sz="0" w:space="0" w:color="auto"/>
      </w:divBdr>
    </w:div>
    <w:div w:id="678047208">
      <w:bodyDiv w:val="1"/>
      <w:marLeft w:val="0"/>
      <w:marRight w:val="0"/>
      <w:marTop w:val="0"/>
      <w:marBottom w:val="0"/>
      <w:divBdr>
        <w:top w:val="none" w:sz="0" w:space="0" w:color="auto"/>
        <w:left w:val="none" w:sz="0" w:space="0" w:color="auto"/>
        <w:bottom w:val="none" w:sz="0" w:space="0" w:color="auto"/>
        <w:right w:val="none" w:sz="0" w:space="0" w:color="auto"/>
      </w:divBdr>
    </w:div>
    <w:div w:id="1345549035">
      <w:bodyDiv w:val="1"/>
      <w:marLeft w:val="0"/>
      <w:marRight w:val="0"/>
      <w:marTop w:val="0"/>
      <w:marBottom w:val="0"/>
      <w:divBdr>
        <w:top w:val="none" w:sz="0" w:space="0" w:color="auto"/>
        <w:left w:val="none" w:sz="0" w:space="0" w:color="auto"/>
        <w:bottom w:val="none" w:sz="0" w:space="0" w:color="auto"/>
        <w:right w:val="none" w:sz="0" w:space="0" w:color="auto"/>
      </w:divBdr>
    </w:div>
    <w:div w:id="1663847981">
      <w:bodyDiv w:val="1"/>
      <w:marLeft w:val="0"/>
      <w:marRight w:val="0"/>
      <w:marTop w:val="0"/>
      <w:marBottom w:val="0"/>
      <w:divBdr>
        <w:top w:val="none" w:sz="0" w:space="0" w:color="auto"/>
        <w:left w:val="none" w:sz="0" w:space="0" w:color="auto"/>
        <w:bottom w:val="none" w:sz="0" w:space="0" w:color="auto"/>
        <w:right w:val="none" w:sz="0" w:space="0" w:color="auto"/>
      </w:divBdr>
    </w:div>
    <w:div w:id="1792213237">
      <w:bodyDiv w:val="1"/>
      <w:marLeft w:val="0"/>
      <w:marRight w:val="0"/>
      <w:marTop w:val="0"/>
      <w:marBottom w:val="0"/>
      <w:divBdr>
        <w:top w:val="none" w:sz="0" w:space="0" w:color="auto"/>
        <w:left w:val="none" w:sz="0" w:space="0" w:color="auto"/>
        <w:bottom w:val="none" w:sz="0" w:space="0" w:color="auto"/>
        <w:right w:val="none" w:sz="0" w:space="0" w:color="auto"/>
      </w:divBdr>
    </w:div>
    <w:div w:id="1807890948">
      <w:bodyDiv w:val="1"/>
      <w:marLeft w:val="0"/>
      <w:marRight w:val="0"/>
      <w:marTop w:val="0"/>
      <w:marBottom w:val="0"/>
      <w:divBdr>
        <w:top w:val="none" w:sz="0" w:space="0" w:color="auto"/>
        <w:left w:val="none" w:sz="0" w:space="0" w:color="auto"/>
        <w:bottom w:val="none" w:sz="0" w:space="0" w:color="auto"/>
        <w:right w:val="none" w:sz="0" w:space="0" w:color="auto"/>
      </w:divBdr>
    </w:div>
    <w:div w:id="1906067993">
      <w:bodyDiv w:val="1"/>
      <w:marLeft w:val="0"/>
      <w:marRight w:val="0"/>
      <w:marTop w:val="0"/>
      <w:marBottom w:val="0"/>
      <w:divBdr>
        <w:top w:val="none" w:sz="0" w:space="0" w:color="auto"/>
        <w:left w:val="none" w:sz="0" w:space="0" w:color="auto"/>
        <w:bottom w:val="none" w:sz="0" w:space="0" w:color="auto"/>
        <w:right w:val="none" w:sz="0" w:space="0" w:color="auto"/>
      </w:divBdr>
      <w:divsChild>
        <w:div w:id="1977684346">
          <w:marLeft w:val="0"/>
          <w:marRight w:val="0"/>
          <w:marTop w:val="0"/>
          <w:marBottom w:val="0"/>
          <w:divBdr>
            <w:top w:val="none" w:sz="0" w:space="0" w:color="auto"/>
            <w:left w:val="none" w:sz="0" w:space="0" w:color="auto"/>
            <w:bottom w:val="none" w:sz="0" w:space="0" w:color="auto"/>
            <w:right w:val="none" w:sz="0" w:space="0" w:color="auto"/>
          </w:divBdr>
          <w:divsChild>
            <w:div w:id="974219251">
              <w:marLeft w:val="0"/>
              <w:marRight w:val="0"/>
              <w:marTop w:val="0"/>
              <w:marBottom w:val="0"/>
              <w:divBdr>
                <w:top w:val="none" w:sz="0" w:space="0" w:color="auto"/>
                <w:left w:val="none" w:sz="0" w:space="0" w:color="auto"/>
                <w:bottom w:val="dotted" w:sz="6" w:space="0" w:color="FEA957"/>
                <w:right w:val="none" w:sz="0" w:space="0" w:color="auto"/>
              </w:divBdr>
              <w:divsChild>
                <w:div w:id="287510894">
                  <w:marLeft w:val="0"/>
                  <w:marRight w:val="0"/>
                  <w:marTop w:val="0"/>
                  <w:marBottom w:val="0"/>
                  <w:divBdr>
                    <w:top w:val="none" w:sz="0" w:space="0" w:color="auto"/>
                    <w:left w:val="none" w:sz="0" w:space="0" w:color="auto"/>
                    <w:bottom w:val="none" w:sz="0" w:space="0" w:color="auto"/>
                    <w:right w:val="none" w:sz="0" w:space="0" w:color="auto"/>
                  </w:divBdr>
                  <w:divsChild>
                    <w:div w:id="872769123">
                      <w:marLeft w:val="3375"/>
                      <w:marRight w:val="0"/>
                      <w:marTop w:val="0"/>
                      <w:marBottom w:val="0"/>
                      <w:divBdr>
                        <w:top w:val="none" w:sz="0" w:space="0" w:color="auto"/>
                        <w:left w:val="none" w:sz="0" w:space="0" w:color="auto"/>
                        <w:bottom w:val="none" w:sz="0" w:space="0" w:color="auto"/>
                        <w:right w:val="none" w:sz="0" w:space="0" w:color="auto"/>
                      </w:divBdr>
                      <w:divsChild>
                        <w:div w:id="531116877">
                          <w:marLeft w:val="0"/>
                          <w:marRight w:val="0"/>
                          <w:marTop w:val="0"/>
                          <w:marBottom w:val="0"/>
                          <w:divBdr>
                            <w:top w:val="none" w:sz="0" w:space="0" w:color="auto"/>
                            <w:left w:val="none" w:sz="0" w:space="0" w:color="auto"/>
                            <w:bottom w:val="none" w:sz="0" w:space="0" w:color="auto"/>
                            <w:right w:val="none" w:sz="0" w:space="0" w:color="auto"/>
                          </w:divBdr>
                          <w:divsChild>
                            <w:div w:id="189689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hyperlink" Target="mailto:liweig@qualcomm.co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F4444-7438-4B6E-BB5F-D4198326E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599</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4011</CharactersWithSpaces>
  <SharedDoc>false</SharedDoc>
  <HLinks>
    <vt:vector size="6" baseType="variant">
      <vt:variant>
        <vt:i4>4063307</vt:i4>
      </vt:variant>
      <vt:variant>
        <vt:i4>0</vt:i4>
      </vt:variant>
      <vt:variant>
        <vt:i4>0</vt:i4>
      </vt:variant>
      <vt:variant>
        <vt:i4>5</vt:i4>
      </vt:variant>
      <vt:variant>
        <vt:lpwstr>mailto:philippe.bordes@technicolor.com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Wang, Xianglin</cp:lastModifiedBy>
  <cp:revision>22</cp:revision>
  <cp:lastPrinted>2011-03-04T16:57:00Z</cp:lastPrinted>
  <dcterms:created xsi:type="dcterms:W3CDTF">2011-03-17T13:08:00Z</dcterms:created>
  <dcterms:modified xsi:type="dcterms:W3CDTF">2011-03-17T19:01:00Z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434302995</vt:i4>
  </property>
  <property fmtid="{D5CDD505-2E9C-101B-9397-08002B2CF9AE}" pid="3" name="_NewReviewCycle">
    <vt:lpwstr/>
  </property>
  <property fmtid="{D5CDD505-2E9C-101B-9397-08002B2CF9AE}" pid="4" name="_EmailSubject">
    <vt:lpwstr>chroma fix</vt:lpwstr>
  </property>
  <property fmtid="{D5CDD505-2E9C-101B-9397-08002B2CF9AE}" pid="5" name="_AuthorEmail">
    <vt:lpwstr>xianglin@qualcomm.com</vt:lpwstr>
  </property>
  <property fmtid="{D5CDD505-2E9C-101B-9397-08002B2CF9AE}" pid="6" name="_AuthorEmailDisplayName">
    <vt:lpwstr>Wang, Xianglin (Shawn)</vt:lpwstr>
  </property>
</Properties>
</file>