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D17340"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362B76">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362B76">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257551" w:rsidP="00B0060F">
            <w:pPr>
              <w:tabs>
                <w:tab w:val="left" w:pos="7200"/>
              </w:tabs>
              <w:spacing w:before="0"/>
              <w:rPr>
                <w:b/>
                <w:szCs w:val="22"/>
              </w:rPr>
            </w:pPr>
            <w:r>
              <w:rPr>
                <w:szCs w:val="22"/>
              </w:rPr>
              <w:t>5</w:t>
            </w:r>
            <w:r w:rsidR="00B0060F">
              <w:rPr>
                <w:szCs w:val="22"/>
              </w:rPr>
              <w:t>th</w:t>
            </w:r>
            <w:r w:rsidR="00E61DAC" w:rsidRPr="00AE341B">
              <w:rPr>
                <w:szCs w:val="22"/>
              </w:rPr>
              <w:t xml:space="preserve"> Meeting: </w:t>
            </w:r>
            <w:r>
              <w:rPr>
                <w:szCs w:val="22"/>
              </w:rPr>
              <w:t>Geneva</w:t>
            </w:r>
            <w:r w:rsidR="003F5D0F" w:rsidRPr="00AE341B">
              <w:rPr>
                <w:szCs w:val="22"/>
              </w:rPr>
              <w:t xml:space="preserve">, </w:t>
            </w:r>
            <w:r w:rsidR="00B30081">
              <w:rPr>
                <w:szCs w:val="22"/>
              </w:rPr>
              <w:t>16</w:t>
            </w:r>
            <w:r w:rsidR="00171371" w:rsidRPr="00AE341B">
              <w:rPr>
                <w:szCs w:val="22"/>
              </w:rPr>
              <w:t>-</w:t>
            </w:r>
            <w:r w:rsidR="0045556C">
              <w:rPr>
                <w:szCs w:val="22"/>
              </w:rPr>
              <w:t>2</w:t>
            </w:r>
            <w:r w:rsidR="00B0060F">
              <w:rPr>
                <w:szCs w:val="22"/>
              </w:rPr>
              <w:t>3</w:t>
            </w:r>
            <w:r w:rsidR="001C3525" w:rsidRPr="00AE341B">
              <w:rPr>
                <w:szCs w:val="22"/>
              </w:rPr>
              <w:t xml:space="preserve"> </w:t>
            </w:r>
            <w:r w:rsidR="00B30081">
              <w:rPr>
                <w:szCs w:val="22"/>
              </w:rPr>
              <w:t>March</w:t>
            </w:r>
            <w:r w:rsidR="00E61DAC" w:rsidRPr="00AE341B">
              <w:rPr>
                <w:szCs w:val="22"/>
              </w:rPr>
              <w:t>, 20</w:t>
            </w:r>
            <w:r w:rsidR="007F1F8B" w:rsidRPr="00AE341B">
              <w:rPr>
                <w:szCs w:val="22"/>
              </w:rPr>
              <w:t>1</w:t>
            </w:r>
            <w:r w:rsidR="00335705">
              <w:rPr>
                <w:szCs w:val="22"/>
              </w:rPr>
              <w:t>1</w:t>
            </w:r>
          </w:p>
        </w:tc>
        <w:tc>
          <w:tcPr>
            <w:tcW w:w="3168" w:type="dxa"/>
          </w:tcPr>
          <w:p w:rsidR="003315A1" w:rsidRDefault="00E61DAC" w:rsidP="00DB2C26">
            <w:pPr>
              <w:tabs>
                <w:tab w:val="left" w:pos="7200"/>
              </w:tabs>
              <w:rPr>
                <w:u w:val="single"/>
              </w:rPr>
            </w:pPr>
            <w:r w:rsidRPr="00AE341B">
              <w:t>Document</w:t>
            </w:r>
            <w:r w:rsidR="006C5D39" w:rsidRPr="00AE341B">
              <w:t>: JC</w:t>
            </w:r>
            <w:r w:rsidRPr="00AE341B">
              <w:t>T</w:t>
            </w:r>
            <w:r w:rsidR="006C5D39" w:rsidRPr="00AE341B">
              <w:t>VC</w:t>
            </w:r>
            <w:r w:rsidRPr="00AE341B">
              <w:t>-</w:t>
            </w:r>
            <w:r w:rsidR="007A0432">
              <w:t>E</w:t>
            </w:r>
            <w:r w:rsidR="00F52B4F" w:rsidRPr="00F52B4F">
              <w:t>0</w:t>
            </w:r>
            <w:r w:rsidR="00F86BDB">
              <w:t>xx</w:t>
            </w:r>
          </w:p>
          <w:p w:rsidR="008A4B4C" w:rsidRPr="00AE341B" w:rsidRDefault="008A4B4C" w:rsidP="00F86BDB">
            <w:pPr>
              <w:tabs>
                <w:tab w:val="left" w:pos="7200"/>
              </w:tabs>
            </w:pPr>
          </w:p>
        </w:tc>
      </w:tr>
    </w:tbl>
    <w:p w:rsidR="00E61DAC" w:rsidRPr="00AE341B" w:rsidRDefault="00E61DAC" w:rsidP="00531AE9">
      <w:pPr>
        <w:spacing w:before="0"/>
      </w:pPr>
    </w:p>
    <w:tbl>
      <w:tblPr>
        <w:tblW w:w="9747" w:type="dxa"/>
        <w:tblLayout w:type="fixed"/>
        <w:tblLook w:val="0000"/>
      </w:tblPr>
      <w:tblGrid>
        <w:gridCol w:w="1458"/>
        <w:gridCol w:w="4050"/>
        <w:gridCol w:w="900"/>
        <w:gridCol w:w="3339"/>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289" w:type="dxa"/>
            <w:gridSpan w:val="3"/>
          </w:tcPr>
          <w:p w:rsidR="00E61DAC" w:rsidRPr="00AE341B" w:rsidRDefault="00F86BDB" w:rsidP="008A0F58">
            <w:pPr>
              <w:spacing w:before="60" w:after="60"/>
              <w:rPr>
                <w:b/>
                <w:szCs w:val="22"/>
              </w:rPr>
            </w:pPr>
            <w:r>
              <w:rPr>
                <w:b/>
                <w:szCs w:val="22"/>
              </w:rPr>
              <w:t xml:space="preserve">Overlapped Block Motion Compensation for </w:t>
            </w:r>
            <w:r w:rsidR="002E4E7E">
              <w:rPr>
                <w:b/>
                <w:szCs w:val="22"/>
              </w:rPr>
              <w:t>Regular</w:t>
            </w:r>
            <w:r>
              <w:rPr>
                <w:b/>
                <w:szCs w:val="22"/>
              </w:rPr>
              <w:t xml:space="preserve"> </w:t>
            </w:r>
            <w:r w:rsidR="008A0F58">
              <w:rPr>
                <w:b/>
                <w:szCs w:val="22"/>
              </w:rPr>
              <w:t xml:space="preserve">Block </w:t>
            </w:r>
            <w:r>
              <w:rPr>
                <w:b/>
                <w:szCs w:val="22"/>
              </w:rPr>
              <w:t>Partition</w:t>
            </w:r>
            <w:r w:rsidR="008A0F58">
              <w:rPr>
                <w:b/>
                <w:szCs w:val="22"/>
              </w:rPr>
              <w:t>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289" w:type="dxa"/>
            <w:gridSpan w:val="3"/>
          </w:tcPr>
          <w:p w:rsidR="00E61DAC" w:rsidRPr="00AE341B" w:rsidRDefault="00E215EE" w:rsidP="00E215EE">
            <w:pPr>
              <w:spacing w:before="60" w:after="60"/>
              <w:rPr>
                <w:szCs w:val="22"/>
              </w:rPr>
            </w:pPr>
            <w:r w:rsidRPr="00AE341B">
              <w:rPr>
                <w:szCs w:val="22"/>
              </w:rPr>
              <w:t xml:space="preserve">Input Document to </w:t>
            </w:r>
            <w:r>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289" w:type="dxa"/>
            <w:gridSpan w:val="3"/>
          </w:tcPr>
          <w:p w:rsidR="00E61DAC" w:rsidRPr="00AE341B" w:rsidRDefault="00B341FC" w:rsidP="00E215EE">
            <w:pPr>
              <w:spacing w:before="60" w:after="60"/>
              <w:rPr>
                <w:szCs w:val="22"/>
              </w:rPr>
            </w:pPr>
            <w:r>
              <w:rPr>
                <w:szCs w:val="22"/>
              </w:rPr>
              <w:t>Proposal</w:t>
            </w:r>
          </w:p>
        </w:tc>
      </w:tr>
      <w:tr w:rsidR="00F86BDB" w:rsidRPr="00AE341B">
        <w:tc>
          <w:tcPr>
            <w:tcW w:w="1458" w:type="dxa"/>
          </w:tcPr>
          <w:p w:rsidR="00F86BDB" w:rsidRPr="00AE341B" w:rsidRDefault="00F86BDB">
            <w:pPr>
              <w:spacing w:before="60" w:after="60"/>
              <w:rPr>
                <w:i/>
                <w:szCs w:val="22"/>
              </w:rPr>
            </w:pPr>
            <w:r w:rsidRPr="00AE341B">
              <w:rPr>
                <w:i/>
                <w:szCs w:val="22"/>
              </w:rPr>
              <w:t>Author(s) or</w:t>
            </w:r>
            <w:r w:rsidRPr="00AE341B">
              <w:rPr>
                <w:i/>
                <w:szCs w:val="22"/>
              </w:rPr>
              <w:br/>
              <w:t>Contact(s):</w:t>
            </w:r>
          </w:p>
        </w:tc>
        <w:tc>
          <w:tcPr>
            <w:tcW w:w="4050" w:type="dxa"/>
          </w:tcPr>
          <w:p w:rsidR="00F86BDB" w:rsidRDefault="00F86BDB" w:rsidP="00BE0447">
            <w:pPr>
              <w:spacing w:before="60" w:after="60"/>
              <w:rPr>
                <w:szCs w:val="22"/>
              </w:rPr>
            </w:pPr>
            <w:r>
              <w:rPr>
                <w:szCs w:val="22"/>
              </w:rPr>
              <w:t xml:space="preserve">Liwei Guo, </w:t>
            </w:r>
          </w:p>
          <w:p w:rsidR="00F86BDB" w:rsidRDefault="00F86BDB" w:rsidP="00BE0447">
            <w:pPr>
              <w:spacing w:before="60" w:after="60"/>
              <w:rPr>
                <w:szCs w:val="22"/>
              </w:rPr>
            </w:pPr>
            <w:r>
              <w:rPr>
                <w:szCs w:val="22"/>
              </w:rPr>
              <w:t xml:space="preserve">Peisong Chen, </w:t>
            </w:r>
          </w:p>
          <w:p w:rsidR="00F86BDB" w:rsidRPr="00AE341B" w:rsidRDefault="00F86BDB" w:rsidP="00BE0447">
            <w:pPr>
              <w:spacing w:before="60" w:after="60"/>
              <w:rPr>
                <w:szCs w:val="22"/>
              </w:rPr>
            </w:pPr>
            <w:r>
              <w:rPr>
                <w:szCs w:val="22"/>
              </w:rPr>
              <w:t>Marta Karczewicz</w:t>
            </w:r>
            <w:r w:rsidRPr="00AE341B">
              <w:rPr>
                <w:szCs w:val="22"/>
              </w:rPr>
              <w:br/>
            </w:r>
            <w:r>
              <w:rPr>
                <w:szCs w:val="22"/>
              </w:rPr>
              <w:t>5775 Morehouse Drive</w:t>
            </w:r>
            <w:r w:rsidRPr="00AE341B">
              <w:rPr>
                <w:szCs w:val="22"/>
              </w:rPr>
              <w:br/>
            </w:r>
            <w:r>
              <w:rPr>
                <w:szCs w:val="22"/>
              </w:rPr>
              <w:t>San Diego, CA 92121</w:t>
            </w:r>
            <w:r w:rsidRPr="00AE341B">
              <w:rPr>
                <w:szCs w:val="22"/>
              </w:rPr>
              <w:br/>
            </w:r>
            <w:r>
              <w:rPr>
                <w:szCs w:val="22"/>
              </w:rPr>
              <w:t>USA</w:t>
            </w:r>
          </w:p>
        </w:tc>
        <w:tc>
          <w:tcPr>
            <w:tcW w:w="900" w:type="dxa"/>
          </w:tcPr>
          <w:p w:rsidR="00F86BDB" w:rsidRPr="00AE341B" w:rsidRDefault="00F86BDB">
            <w:pPr>
              <w:spacing w:before="60" w:after="60"/>
              <w:rPr>
                <w:szCs w:val="22"/>
              </w:rPr>
            </w:pPr>
            <w:r w:rsidRPr="007A0432">
              <w:rPr>
                <w:szCs w:val="22"/>
                <w:lang w:val="fr-FR"/>
              </w:rPr>
              <w:br/>
            </w:r>
            <w:r w:rsidRPr="00AE341B">
              <w:rPr>
                <w:szCs w:val="22"/>
              </w:rPr>
              <w:t>Tel:</w:t>
            </w:r>
            <w:r w:rsidRPr="00AE341B">
              <w:rPr>
                <w:szCs w:val="22"/>
              </w:rPr>
              <w:br/>
              <w:t>Email:</w:t>
            </w:r>
          </w:p>
        </w:tc>
        <w:tc>
          <w:tcPr>
            <w:tcW w:w="3339" w:type="dxa"/>
          </w:tcPr>
          <w:p w:rsidR="00F86BDB" w:rsidRPr="00AE341B" w:rsidRDefault="00F86BDB" w:rsidP="00BE0447">
            <w:pPr>
              <w:spacing w:before="60" w:after="60"/>
              <w:rPr>
                <w:szCs w:val="22"/>
              </w:rPr>
            </w:pPr>
            <w:r w:rsidRPr="00AE341B">
              <w:rPr>
                <w:szCs w:val="22"/>
              </w:rPr>
              <w:br/>
            </w:r>
            <w:r>
              <w:rPr>
                <w:szCs w:val="22"/>
              </w:rPr>
              <w:t>1-858-651-8125</w:t>
            </w:r>
            <w:r w:rsidRPr="00AE341B">
              <w:rPr>
                <w:szCs w:val="22"/>
              </w:rPr>
              <w:br/>
            </w:r>
            <w:hyperlink r:id="rId10" w:history="1">
              <w:r w:rsidRPr="00F86BDB">
                <w:rPr>
                  <w:rStyle w:val="Hyperlink"/>
                  <w:szCs w:val="22"/>
                </w:rPr>
                <w:t>liweig@qualcomm.com</w:t>
              </w:r>
            </w:hyperlink>
          </w:p>
        </w:tc>
      </w:tr>
      <w:tr w:rsidR="00F86BDB" w:rsidRPr="00485847">
        <w:tc>
          <w:tcPr>
            <w:tcW w:w="1458" w:type="dxa"/>
          </w:tcPr>
          <w:p w:rsidR="00F86BDB" w:rsidRPr="00AE341B" w:rsidRDefault="00F86BDB">
            <w:pPr>
              <w:spacing w:before="60" w:after="60"/>
              <w:rPr>
                <w:i/>
                <w:szCs w:val="22"/>
              </w:rPr>
            </w:pPr>
            <w:r w:rsidRPr="00AE341B">
              <w:rPr>
                <w:i/>
                <w:szCs w:val="22"/>
              </w:rPr>
              <w:t>Source:</w:t>
            </w:r>
          </w:p>
        </w:tc>
        <w:tc>
          <w:tcPr>
            <w:tcW w:w="8289" w:type="dxa"/>
            <w:gridSpan w:val="3"/>
          </w:tcPr>
          <w:p w:rsidR="00F86BDB" w:rsidRPr="00485847" w:rsidRDefault="00F86BDB" w:rsidP="00B341FC">
            <w:pPr>
              <w:spacing w:before="60" w:after="60"/>
              <w:rPr>
                <w:szCs w:val="22"/>
                <w:lang w:val="fr-FR"/>
              </w:rPr>
            </w:pPr>
            <w:r>
              <w:rPr>
                <w:szCs w:val="22"/>
              </w:rPr>
              <w:t>Qualcomm Incorporated</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067B20" w:rsidRDefault="00067B20" w:rsidP="00067B20">
      <w:pPr>
        <w:jc w:val="both"/>
      </w:pPr>
      <w:r>
        <w:t xml:space="preserve">In this contribution, overlapped block motion compensation (OBMC) has been applied to regular partitions (2NxN and Nx2N block partitions) in HM 2.0. Specifically, if a CU is 2NxN or Nx2N, OBMC is applied to the horizontal boundary of two 2NxN partitions, and the vertical boundary of two Nx2N partitions. </w:t>
      </w:r>
      <w:r w:rsidR="001922C1">
        <w:t xml:space="preserve">In our </w:t>
      </w:r>
      <w:r w:rsidR="00CC7F7F">
        <w:t>simulation</w:t>
      </w:r>
      <w:r w:rsidR="001922C1">
        <w:t xml:space="preserve">, it is observed a </w:t>
      </w:r>
      <w:r>
        <w:rPr>
          <w:szCs w:val="22"/>
        </w:rPr>
        <w:t xml:space="preserve">BD-rate reduction </w:t>
      </w:r>
      <w:r w:rsidR="00D04236">
        <w:rPr>
          <w:szCs w:val="22"/>
          <w:lang w:eastAsia="ja-JP"/>
        </w:rPr>
        <w:t>0.54</w:t>
      </w:r>
      <w:r w:rsidRPr="00051105">
        <w:rPr>
          <w:szCs w:val="22"/>
        </w:rPr>
        <w:t>%</w:t>
      </w:r>
      <w:r>
        <w:rPr>
          <w:rFonts w:hint="eastAsia"/>
          <w:szCs w:val="22"/>
          <w:lang w:eastAsia="ja-JP"/>
        </w:rPr>
        <w:t xml:space="preserve"> on average</w:t>
      </w:r>
      <w:r>
        <w:rPr>
          <w:szCs w:val="22"/>
        </w:rPr>
        <w:t xml:space="preserve"> for </w:t>
      </w:r>
      <w:r>
        <w:rPr>
          <w:rFonts w:hint="eastAsia"/>
          <w:szCs w:val="22"/>
          <w:lang w:eastAsia="ja-JP"/>
        </w:rPr>
        <w:t>random access case,</w:t>
      </w:r>
      <w:r>
        <w:rPr>
          <w:szCs w:val="22"/>
        </w:rPr>
        <w:t xml:space="preserve"> and</w:t>
      </w:r>
      <w:r w:rsidRPr="0073756E">
        <w:rPr>
          <w:rFonts w:hint="eastAsia"/>
          <w:szCs w:val="22"/>
          <w:lang w:eastAsia="ja-JP"/>
        </w:rPr>
        <w:t xml:space="preserve"> </w:t>
      </w:r>
      <w:r w:rsidR="00D04236">
        <w:rPr>
          <w:szCs w:val="22"/>
          <w:lang w:eastAsia="ja-JP"/>
        </w:rPr>
        <w:t>0.81</w:t>
      </w:r>
      <w:r>
        <w:rPr>
          <w:rFonts w:hint="eastAsia"/>
          <w:szCs w:val="22"/>
          <w:lang w:eastAsia="ja-JP"/>
        </w:rPr>
        <w:t xml:space="preserve">% on average </w:t>
      </w:r>
      <w:r>
        <w:rPr>
          <w:szCs w:val="22"/>
        </w:rPr>
        <w:t xml:space="preserve">for low </w:t>
      </w:r>
      <w:r>
        <w:rPr>
          <w:rFonts w:hint="eastAsia"/>
          <w:szCs w:val="22"/>
          <w:lang w:eastAsia="ja-JP"/>
        </w:rPr>
        <w:t>delay case</w:t>
      </w:r>
      <w:r w:rsidR="00417C04">
        <w:rPr>
          <w:szCs w:val="22"/>
          <w:lang w:eastAsia="ja-JP"/>
        </w:rPr>
        <w:t>. We observed there is no increase in encoding time and</w:t>
      </w:r>
      <w:r w:rsidR="003F4597">
        <w:rPr>
          <w:szCs w:val="22"/>
          <w:lang w:eastAsia="ja-JP"/>
        </w:rPr>
        <w:t xml:space="preserve"> </w:t>
      </w:r>
      <w:r w:rsidR="00AA3DAF">
        <w:rPr>
          <w:szCs w:val="22"/>
          <w:lang w:eastAsia="ja-JP"/>
        </w:rPr>
        <w:t>1%-</w:t>
      </w:r>
      <w:r w:rsidR="003F4597">
        <w:rPr>
          <w:szCs w:val="22"/>
          <w:lang w:eastAsia="ja-JP"/>
        </w:rPr>
        <w:t>3</w:t>
      </w:r>
      <w:r w:rsidR="00AA3DAF">
        <w:rPr>
          <w:szCs w:val="22"/>
          <w:lang w:eastAsia="ja-JP"/>
        </w:rPr>
        <w:t>%</w:t>
      </w:r>
      <w:r>
        <w:rPr>
          <w:szCs w:val="22"/>
          <w:lang w:eastAsia="ja-JP"/>
        </w:rPr>
        <w:t xml:space="preserve"> </w:t>
      </w:r>
      <w:r w:rsidR="00417C04">
        <w:rPr>
          <w:szCs w:val="22"/>
          <w:lang w:eastAsia="ja-JP"/>
        </w:rPr>
        <w:t xml:space="preserve">increase in </w:t>
      </w:r>
      <w:r w:rsidR="00AA3DAF">
        <w:rPr>
          <w:szCs w:val="22"/>
          <w:lang w:eastAsia="ja-JP"/>
        </w:rPr>
        <w:t>decoding time.</w:t>
      </w:r>
      <w:r>
        <w:rPr>
          <w:szCs w:val="22"/>
          <w:lang w:eastAsia="ja-JP"/>
        </w:rPr>
        <w:t xml:space="preserve"> </w:t>
      </w:r>
    </w:p>
    <w:p w:rsidR="002D7D8F" w:rsidRDefault="002D7D8F" w:rsidP="002D7D8F">
      <w:pPr>
        <w:pStyle w:val="Heading1"/>
        <w:tabs>
          <w:tab w:val="clear" w:pos="360"/>
          <w:tab w:val="clear" w:pos="720"/>
          <w:tab w:val="clear" w:pos="1080"/>
          <w:tab w:val="clear" w:pos="1440"/>
        </w:tabs>
      </w:pPr>
      <w:r>
        <w:t>Introduction</w:t>
      </w:r>
    </w:p>
    <w:p w:rsidR="00E1283F" w:rsidRDefault="00BE0447" w:rsidP="00E1283F">
      <w:pPr>
        <w:jc w:val="both"/>
        <w:rPr>
          <w:szCs w:val="22"/>
        </w:rPr>
      </w:pPr>
      <w:r>
        <w:rPr>
          <w:szCs w:val="22"/>
        </w:rPr>
        <w:t xml:space="preserve">OBMC [1] uses overlapped blocks in motion compensation to reduce blocking artifact along macroblock boundaries. The effective of OBMC on flexible motion partitions (e.g., </w:t>
      </w:r>
      <w:r w:rsidR="00CC7F7F">
        <w:rPr>
          <w:szCs w:val="22"/>
        </w:rPr>
        <w:t>Asymmetric</w:t>
      </w:r>
      <w:r>
        <w:rPr>
          <w:szCs w:val="22"/>
        </w:rPr>
        <w:t xml:space="preserve"> Motion Partition and Geometry motion partition) has been demonstrated in previous JCTVC meetings [2] [3]. </w:t>
      </w:r>
      <w:r w:rsidR="00E1283F">
        <w:rPr>
          <w:szCs w:val="22"/>
        </w:rPr>
        <w:t>In this contribution, OBMC is extended to regular block partition (2NxN and Nx2N)</w:t>
      </w:r>
      <w:r w:rsidR="002E4E7E">
        <w:rPr>
          <w:szCs w:val="22"/>
        </w:rPr>
        <w:t xml:space="preserve"> in HM2.0 software</w:t>
      </w:r>
      <w:r w:rsidR="00E1283F">
        <w:rPr>
          <w:szCs w:val="22"/>
        </w:rPr>
        <w:t xml:space="preserve">. The introduction of OBMC can improve coding efficiency by smoothing out the partition boundaries and reducing the high frequency energy, resulting in better transform coding efficiency </w:t>
      </w:r>
      <w:r w:rsidR="00E1283F" w:rsidRPr="00743103">
        <w:rPr>
          <w:szCs w:val="22"/>
        </w:rPr>
        <w:t>and visual quality</w:t>
      </w:r>
      <w:r w:rsidR="00E1283F">
        <w:rPr>
          <w:szCs w:val="22"/>
        </w:rPr>
        <w:t>.</w:t>
      </w:r>
    </w:p>
    <w:p w:rsidR="00E1283F" w:rsidRDefault="00E1283F" w:rsidP="00E1283F">
      <w:pPr>
        <w:pStyle w:val="Heading1"/>
      </w:pPr>
      <w:r>
        <w:t>OBMC for Regular Partition Block</w:t>
      </w:r>
    </w:p>
    <w:p w:rsidR="00DE2C11" w:rsidRDefault="00DE2C11" w:rsidP="00E1283F">
      <w:pPr>
        <w:jc w:val="both"/>
      </w:pPr>
      <w:r>
        <w:t xml:space="preserve">In HM software, a CU of size 2Nx2N can be partitioned into four different ways: a whole 2Nx2N partition, two 2NxN partitions, two Nx2N partitions and four NxN partitions. </w:t>
      </w:r>
      <w:r w:rsidR="007011B7">
        <w:t xml:space="preserve">If the selected transform for this transform is 2Nx2N </w:t>
      </w:r>
      <w:r w:rsidR="002E4E7E">
        <w:t>while</w:t>
      </w:r>
      <w:r w:rsidR="007011B7">
        <w:t xml:space="preserve"> the block partition is 2NxN, Nx2N or NxN, the block transform will cover pixels from multiple partitions. Since those partitions may have different motion vectors, the pixels at partition boundaries may have large discontinuity, which may generate visual artifacts and also reduced transform/coding efficiency. </w:t>
      </w:r>
    </w:p>
    <w:p w:rsidR="007011B7" w:rsidRDefault="00BE0B83" w:rsidP="00E1283F">
      <w:pPr>
        <w:jc w:val="both"/>
      </w:pPr>
      <w:r>
        <w:rPr>
          <w:noProof/>
          <w:lang w:eastAsia="zh-CN"/>
        </w:rPr>
        <w:lastRenderedPageBreak/>
        <w:drawing>
          <wp:inline distT="0" distB="0" distL="0" distR="0">
            <wp:extent cx="5493229" cy="2905073"/>
            <wp:effectExtent l="19050" t="0" r="0" b="0"/>
            <wp:docPr id="1" name="Picture 0" descr="Figure_OBM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_OBMC.jpg"/>
                    <pic:cNvPicPr/>
                  </pic:nvPicPr>
                  <pic:blipFill>
                    <a:blip r:embed="rId11" cstate="print"/>
                    <a:stretch>
                      <a:fillRect/>
                    </a:stretch>
                  </pic:blipFill>
                  <pic:spPr>
                    <a:xfrm>
                      <a:off x="0" y="0"/>
                      <a:ext cx="5498888" cy="2908066"/>
                    </a:xfrm>
                    <a:prstGeom prst="rect">
                      <a:avLst/>
                    </a:prstGeom>
                  </pic:spPr>
                </pic:pic>
              </a:graphicData>
            </a:graphic>
          </wp:inline>
        </w:drawing>
      </w:r>
    </w:p>
    <w:p w:rsidR="002E4E7E" w:rsidRDefault="002E4E7E" w:rsidP="002E4E7E">
      <w:pPr>
        <w:pStyle w:val="Caption"/>
        <w:jc w:val="center"/>
      </w:pPr>
      <w:bookmarkStart w:id="0" w:name="_Ref287343208"/>
      <w:r>
        <w:t xml:space="preserve">Figure </w:t>
      </w:r>
      <w:fldSimple w:instr=" SEQ Figure \* ARABIC ">
        <w:r>
          <w:rPr>
            <w:noProof/>
          </w:rPr>
          <w:t>1</w:t>
        </w:r>
      </w:fldSimple>
      <w:bookmarkEnd w:id="0"/>
      <w:r>
        <w:t xml:space="preserve"> OBMC for (a) 2NxN and (b) Nx2N block</w:t>
      </w:r>
      <w:r w:rsidR="0023799C">
        <w:t>. Weight (3/4</w:t>
      </w:r>
      <w:r w:rsidR="00CC7F7F">
        <w:t>, 1</w:t>
      </w:r>
      <w:r w:rsidR="0023799C">
        <w:t>/4) for “A” pixels, and (7/8</w:t>
      </w:r>
      <w:r w:rsidR="00CC7F7F">
        <w:t>, 1</w:t>
      </w:r>
      <w:r w:rsidR="0023799C">
        <w:t>/8) for “B”pixels.</w:t>
      </w:r>
    </w:p>
    <w:p w:rsidR="00E1283F" w:rsidRDefault="00D17340" w:rsidP="008A0F58">
      <w:pPr>
        <w:jc w:val="both"/>
      </w:pPr>
      <w:fldSimple w:instr=" REF _Ref287343208 \h  \* MERGEFORMAT ">
        <w:r w:rsidR="002E4E7E">
          <w:t xml:space="preserve">Figure </w:t>
        </w:r>
        <w:r w:rsidR="002E4E7E">
          <w:rPr>
            <w:noProof/>
          </w:rPr>
          <w:t>1</w:t>
        </w:r>
      </w:fldSimple>
      <w:r w:rsidR="002E4E7E">
        <w:t xml:space="preserve"> demonstrates OBMC for 2NxN (Fig. 1(a)) and Nx2N blocks (Fig. 1(b)). The white pixels are pixels belonging to Partition 0 and grey pixels are pixels belonging to Partition 2. </w:t>
      </w:r>
      <w:r w:rsidR="00786DEE">
        <w:rPr>
          <w:szCs w:val="22"/>
        </w:rPr>
        <w:t>The overlapped region in the luma component is defined as 2 rows (columns) of pixels on both sides of the horizontal (vertical) boundary. For pixels which are 1 row (</w:t>
      </w:r>
      <w:r w:rsidR="00CC7F7F">
        <w:rPr>
          <w:szCs w:val="22"/>
        </w:rPr>
        <w:t>column</w:t>
      </w:r>
      <w:r w:rsidR="00786DEE">
        <w:rPr>
          <w:szCs w:val="22"/>
        </w:rPr>
        <w:t xml:space="preserve">) apart from the partition boundary, i.e., pixels </w:t>
      </w:r>
      <w:r w:rsidR="00CC7F7F">
        <w:rPr>
          <w:szCs w:val="22"/>
        </w:rPr>
        <w:t>labeled</w:t>
      </w:r>
      <w:r w:rsidR="00786DEE">
        <w:rPr>
          <w:szCs w:val="22"/>
        </w:rPr>
        <w:t xml:space="preserve"> as A in </w:t>
      </w:r>
      <w:fldSimple w:instr=" REF _Ref287343208 \h  \* MERGEFORMAT ">
        <w:r w:rsidR="00786DEE">
          <w:t xml:space="preserve">Figure </w:t>
        </w:r>
        <w:r w:rsidR="00786DEE">
          <w:rPr>
            <w:noProof/>
          </w:rPr>
          <w:t>1</w:t>
        </w:r>
      </w:fldSimple>
      <w:r w:rsidR="00786DEE">
        <w:rPr>
          <w:szCs w:val="22"/>
        </w:rPr>
        <w:t xml:space="preserve">, OBMC weighting </w:t>
      </w:r>
      <w:r w:rsidR="00CC7F7F">
        <w:rPr>
          <w:szCs w:val="22"/>
        </w:rPr>
        <w:t>factors</w:t>
      </w:r>
      <w:r w:rsidR="00786DEE">
        <w:rPr>
          <w:szCs w:val="22"/>
        </w:rPr>
        <w:t xml:space="preserve"> are (3/4, 1/4). For pixels which are 2 rows (columns) apart from the partition boundary, i.e., pixels </w:t>
      </w:r>
      <w:r w:rsidR="00CC7F7F">
        <w:rPr>
          <w:szCs w:val="22"/>
        </w:rPr>
        <w:t>labeled</w:t>
      </w:r>
      <w:r w:rsidR="00786DEE">
        <w:rPr>
          <w:szCs w:val="22"/>
        </w:rPr>
        <w:t xml:space="preserve"> as B in </w:t>
      </w:r>
      <w:fldSimple w:instr=" REF _Ref287343208 \h  \* MERGEFORMAT ">
        <w:r w:rsidR="00786DEE">
          <w:t xml:space="preserve">Figure </w:t>
        </w:r>
        <w:r w:rsidR="00786DEE">
          <w:rPr>
            <w:noProof/>
          </w:rPr>
          <w:t>1</w:t>
        </w:r>
      </w:fldSimple>
      <w:r w:rsidR="00786DEE">
        <w:rPr>
          <w:szCs w:val="22"/>
        </w:rPr>
        <w:t xml:space="preserve">, OBMC weighting factors are (7/8, 1/8).  For chroma components, the overlapped region is defined as 1 row (column) of pixels on both sides of the horizontal (vertical) </w:t>
      </w:r>
      <w:r w:rsidR="00CC7F7F">
        <w:rPr>
          <w:szCs w:val="22"/>
        </w:rPr>
        <w:t>boundary</w:t>
      </w:r>
      <w:r w:rsidR="00786DEE">
        <w:rPr>
          <w:szCs w:val="22"/>
        </w:rPr>
        <w:t>, and the weighting factors are (3/4, 1/4).</w:t>
      </w:r>
    </w:p>
    <w:p w:rsidR="006C4DF0" w:rsidRDefault="006C4DF0" w:rsidP="006C4DF0">
      <w:pPr>
        <w:pStyle w:val="Heading1"/>
        <w:tabs>
          <w:tab w:val="clear" w:pos="360"/>
          <w:tab w:val="clear" w:pos="720"/>
          <w:tab w:val="clear" w:pos="1080"/>
          <w:tab w:val="clear" w:pos="1440"/>
        </w:tabs>
      </w:pPr>
      <w:r>
        <w:t>Experimental results</w:t>
      </w:r>
    </w:p>
    <w:p w:rsidR="000273CF" w:rsidRDefault="000273CF" w:rsidP="0075342A">
      <w:pPr>
        <w:jc w:val="both"/>
        <w:rPr>
          <w:szCs w:val="22"/>
        </w:rPr>
      </w:pPr>
      <w:r>
        <w:rPr>
          <w:szCs w:val="22"/>
        </w:rPr>
        <w:t xml:space="preserve">We implement OBMC for regular block partition on top of HM 2.0. </w:t>
      </w:r>
      <w:r>
        <w:t>The coding efficiency is evaluated under Common conditions specified in [4]. The coding efficiency is measured by using 4 point BD-Rate</w:t>
      </w:r>
      <w:r w:rsidR="0075342A">
        <w:t>.</w:t>
      </w:r>
      <w:r w:rsidR="00514C4E">
        <w:t xml:space="preserve"> The encoding time is measured on clusters with same CPU, and the decoding time is measured by decoding all sequences on a single PC.</w:t>
      </w:r>
    </w:p>
    <w:p w:rsidR="00BE0B83" w:rsidRDefault="00D17340" w:rsidP="0075342A">
      <w:pPr>
        <w:jc w:val="both"/>
      </w:pPr>
      <w:fldSimple w:instr=" REF _Ref287362821 \h  \* MERGEFORMAT ">
        <w:r w:rsidR="000273CF">
          <w:t xml:space="preserve">Table </w:t>
        </w:r>
        <w:r w:rsidR="000273CF">
          <w:rPr>
            <w:noProof/>
          </w:rPr>
          <w:t>1</w:t>
        </w:r>
      </w:fldSimple>
      <w:r w:rsidR="000273CF">
        <w:t xml:space="preserve"> provides the BD rate reduction </w:t>
      </w:r>
      <w:r w:rsidR="003F4597">
        <w:t xml:space="preserve">and the running time </w:t>
      </w:r>
      <w:r w:rsidR="000273CF">
        <w:t xml:space="preserve">of the proposed scheme. On average there is a 0.53% rate reduction for Random Access cases, and 0.81% reduction for Low Delay cases. </w:t>
      </w:r>
      <w:r w:rsidR="003F4597">
        <w:t xml:space="preserve">The maximum bit rate reduction can be 1.17% for Class E in Low Delay mode. </w:t>
      </w:r>
      <w:r w:rsidR="005225AD">
        <w:t xml:space="preserve">We </w:t>
      </w:r>
      <w:r w:rsidR="00CC7F7F">
        <w:t>observe</w:t>
      </w:r>
      <w:r w:rsidR="005225AD">
        <w:t xml:space="preserve"> there is consistent encoding time reduction in every </w:t>
      </w:r>
      <w:r w:rsidR="00CC7F7F">
        <w:t>case</w:t>
      </w:r>
      <w:r w:rsidR="005225AD">
        <w:t xml:space="preserve">. </w:t>
      </w:r>
      <w:r w:rsidR="003F4597">
        <w:t xml:space="preserve">There is slight decoding time increase. </w:t>
      </w:r>
    </w:p>
    <w:p w:rsidR="00B04F31" w:rsidRDefault="00B04F31" w:rsidP="0075342A">
      <w:pPr>
        <w:jc w:val="both"/>
      </w:pPr>
    </w:p>
    <w:tbl>
      <w:tblPr>
        <w:tblW w:w="7240" w:type="dxa"/>
        <w:tblInd w:w="94" w:type="dxa"/>
        <w:tblLook w:val="04A0"/>
      </w:tblPr>
      <w:tblGrid>
        <w:gridCol w:w="1360"/>
        <w:gridCol w:w="980"/>
        <w:gridCol w:w="980"/>
        <w:gridCol w:w="980"/>
        <w:gridCol w:w="980"/>
        <w:gridCol w:w="980"/>
        <w:gridCol w:w="980"/>
      </w:tblGrid>
      <w:tr w:rsidR="00B04F31" w:rsidRPr="00B04F31" w:rsidTr="00B04F31">
        <w:trPr>
          <w:trHeight w:val="270"/>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bookmarkStart w:id="1" w:name="_Ref287362821"/>
            <w:r w:rsidRPr="00B04F31">
              <w:rPr>
                <w:rFonts w:ascii="Arial" w:eastAsia="Times New Roman" w:hAnsi="Arial" w:cs="Arial"/>
                <w:sz w:val="20"/>
                <w:lang w:eastAsia="zh-CN"/>
              </w:rPr>
              <w:t>BD-rate</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20"/>
                <w:lang w:eastAsia="zh-CN"/>
              </w:rPr>
            </w:pPr>
            <w:r w:rsidRPr="00B04F31">
              <w:rPr>
                <w:rFonts w:ascii="Arial" w:eastAsia="Times New Roman" w:hAnsi="Arial" w:cs="Arial"/>
                <w:b/>
                <w:bCs/>
                <w:sz w:val="20"/>
                <w:lang w:eastAsia="zh-CN"/>
              </w:rPr>
              <w:t>Random access</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20"/>
                <w:lang w:eastAsia="zh-CN"/>
              </w:rPr>
            </w:pPr>
            <w:r w:rsidRPr="00B04F31">
              <w:rPr>
                <w:rFonts w:ascii="Arial" w:eastAsia="Times New Roman" w:hAnsi="Arial" w:cs="Arial"/>
                <w:b/>
                <w:bCs/>
                <w:sz w:val="20"/>
                <w:lang w:eastAsia="zh-CN"/>
              </w:rPr>
              <w:t>Random access LoCo</w:t>
            </w:r>
          </w:p>
        </w:tc>
      </w:tr>
      <w:tr w:rsidR="00B04F31" w:rsidRPr="00B04F31" w:rsidTr="00B04F31">
        <w:trPr>
          <w:trHeight w:val="270"/>
        </w:trPr>
        <w:tc>
          <w:tcPr>
            <w:tcW w:w="1360" w:type="dxa"/>
            <w:vMerge/>
            <w:tcBorders>
              <w:top w:val="single" w:sz="8" w:space="0" w:color="auto"/>
              <w:left w:val="single" w:sz="8" w:space="0" w:color="auto"/>
              <w:bottom w:val="single" w:sz="8" w:space="0" w:color="000000"/>
              <w:right w:val="single" w:sz="8" w:space="0" w:color="auto"/>
            </w:tcBorders>
            <w:vAlign w:val="center"/>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Y</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U</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V</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Y</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U</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V</w:t>
            </w:r>
          </w:p>
        </w:tc>
      </w:tr>
      <w:tr w:rsidR="00B04F31" w:rsidRPr="00B04F31" w:rsidTr="00B04F31">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A</w:t>
            </w:r>
          </w:p>
        </w:tc>
        <w:tc>
          <w:tcPr>
            <w:tcW w:w="980" w:type="dxa"/>
            <w:tcBorders>
              <w:top w:val="single" w:sz="8" w:space="0" w:color="auto"/>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-0.30</w:t>
            </w:r>
          </w:p>
        </w:tc>
        <w:tc>
          <w:tcPr>
            <w:tcW w:w="980" w:type="dxa"/>
            <w:tcBorders>
              <w:top w:val="single" w:sz="8" w:space="0" w:color="auto"/>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-0.33</w:t>
            </w:r>
          </w:p>
        </w:tc>
        <w:tc>
          <w:tcPr>
            <w:tcW w:w="980" w:type="dxa"/>
            <w:tcBorders>
              <w:top w:val="single" w:sz="8" w:space="0" w:color="auto"/>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-0.32</w:t>
            </w:r>
          </w:p>
        </w:tc>
        <w:tc>
          <w:tcPr>
            <w:tcW w:w="980" w:type="dxa"/>
            <w:tcBorders>
              <w:top w:val="single" w:sz="8" w:space="0" w:color="auto"/>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-0.47</w:t>
            </w:r>
          </w:p>
        </w:tc>
        <w:tc>
          <w:tcPr>
            <w:tcW w:w="980" w:type="dxa"/>
            <w:tcBorders>
              <w:top w:val="single" w:sz="8" w:space="0" w:color="auto"/>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-0.81</w:t>
            </w:r>
          </w:p>
        </w:tc>
        <w:tc>
          <w:tcPr>
            <w:tcW w:w="980" w:type="dxa"/>
            <w:tcBorders>
              <w:top w:val="single" w:sz="8" w:space="0" w:color="auto"/>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-0.63</w:t>
            </w:r>
          </w:p>
        </w:tc>
      </w:tr>
      <w:tr w:rsidR="00B04F31" w:rsidRPr="00B04F31" w:rsidTr="00B04F31">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B</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-0.47</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-0.64</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-0.65</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-0.42</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-0.51</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-0.59</w:t>
            </w:r>
          </w:p>
        </w:tc>
      </w:tr>
      <w:tr w:rsidR="00B04F31" w:rsidRPr="00B04F31" w:rsidTr="00B04F31">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C</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-0.77</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-1.18</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-1.13</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-0.67</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-0.94</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-1.08</w:t>
            </w:r>
          </w:p>
        </w:tc>
      </w:tr>
      <w:tr w:rsidR="00B04F31" w:rsidRPr="00B04F31" w:rsidTr="00B04F31">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D</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-0.69</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-0.90</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-0.87</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-0.52</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-0.92</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-0.78</w:t>
            </w:r>
          </w:p>
        </w:tc>
      </w:tr>
      <w:tr w:rsidR="00B04F31" w:rsidRPr="00B04F31" w:rsidTr="00B04F31">
        <w:trPr>
          <w:trHeight w:val="255"/>
        </w:trPr>
        <w:tc>
          <w:tcPr>
            <w:tcW w:w="1360" w:type="dxa"/>
            <w:tcBorders>
              <w:top w:val="nil"/>
              <w:left w:val="single" w:sz="8" w:space="0" w:color="auto"/>
              <w:bottom w:val="single" w:sz="4" w:space="0" w:color="auto"/>
              <w:right w:val="single" w:sz="8" w:space="0" w:color="auto"/>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E</w:t>
            </w:r>
          </w:p>
        </w:tc>
        <w:tc>
          <w:tcPr>
            <w:tcW w:w="980" w:type="dxa"/>
            <w:tcBorders>
              <w:top w:val="nil"/>
              <w:left w:val="nil"/>
              <w:bottom w:val="nil"/>
              <w:right w:val="nil"/>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nil"/>
              <w:left w:val="nil"/>
              <w:bottom w:val="nil"/>
              <w:right w:val="nil"/>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nil"/>
              <w:left w:val="nil"/>
              <w:bottom w:val="nil"/>
              <w:right w:val="single" w:sz="8" w:space="0" w:color="auto"/>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nil"/>
              <w:left w:val="nil"/>
              <w:bottom w:val="nil"/>
              <w:right w:val="nil"/>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nil"/>
              <w:left w:val="nil"/>
              <w:bottom w:val="nil"/>
              <w:right w:val="nil"/>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nil"/>
              <w:left w:val="nil"/>
              <w:bottom w:val="nil"/>
              <w:right w:val="single" w:sz="8" w:space="0" w:color="auto"/>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r>
      <w:tr w:rsidR="00B04F31" w:rsidRPr="00B04F31" w:rsidTr="00B04F31">
        <w:trPr>
          <w:trHeight w:val="270"/>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All</w:t>
            </w:r>
          </w:p>
        </w:tc>
        <w:tc>
          <w:tcPr>
            <w:tcW w:w="980" w:type="dxa"/>
            <w:tcBorders>
              <w:top w:val="single" w:sz="4" w:space="0" w:color="auto"/>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-0.56</w:t>
            </w:r>
          </w:p>
        </w:tc>
        <w:tc>
          <w:tcPr>
            <w:tcW w:w="980" w:type="dxa"/>
            <w:tcBorders>
              <w:top w:val="single" w:sz="4" w:space="0" w:color="auto"/>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-0.86</w:t>
            </w:r>
          </w:p>
        </w:tc>
        <w:tc>
          <w:tcPr>
            <w:tcW w:w="980" w:type="dxa"/>
            <w:tcBorders>
              <w:top w:val="single" w:sz="4" w:space="0" w:color="auto"/>
              <w:left w:val="nil"/>
              <w:bottom w:val="single" w:sz="8"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-0.83</w:t>
            </w:r>
          </w:p>
        </w:tc>
        <w:tc>
          <w:tcPr>
            <w:tcW w:w="980" w:type="dxa"/>
            <w:tcBorders>
              <w:top w:val="single" w:sz="4" w:space="0" w:color="auto"/>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-0.51</w:t>
            </w:r>
          </w:p>
        </w:tc>
        <w:tc>
          <w:tcPr>
            <w:tcW w:w="980" w:type="dxa"/>
            <w:tcBorders>
              <w:top w:val="single" w:sz="4" w:space="0" w:color="auto"/>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-0.78</w:t>
            </w:r>
          </w:p>
        </w:tc>
        <w:tc>
          <w:tcPr>
            <w:tcW w:w="980" w:type="dxa"/>
            <w:tcBorders>
              <w:top w:val="single" w:sz="4" w:space="0" w:color="auto"/>
              <w:left w:val="nil"/>
              <w:bottom w:val="single" w:sz="8"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-0.76</w:t>
            </w:r>
          </w:p>
        </w:tc>
      </w:tr>
      <w:tr w:rsidR="00B04F31" w:rsidRPr="00B04F31" w:rsidTr="00B04F31">
        <w:trPr>
          <w:trHeight w:val="255"/>
        </w:trPr>
        <w:tc>
          <w:tcPr>
            <w:tcW w:w="1360" w:type="dxa"/>
            <w:tcBorders>
              <w:top w:val="nil"/>
              <w:left w:val="single" w:sz="8" w:space="0" w:color="auto"/>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Enc Time[%]</w:t>
            </w:r>
          </w:p>
        </w:tc>
        <w:tc>
          <w:tcPr>
            <w:tcW w:w="29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97%</w:t>
            </w:r>
          </w:p>
        </w:tc>
        <w:tc>
          <w:tcPr>
            <w:tcW w:w="2940" w:type="dxa"/>
            <w:gridSpan w:val="3"/>
            <w:tcBorders>
              <w:top w:val="single" w:sz="8" w:space="0" w:color="auto"/>
              <w:left w:val="nil"/>
              <w:bottom w:val="nil"/>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97%</w:t>
            </w:r>
          </w:p>
        </w:tc>
      </w:tr>
      <w:tr w:rsidR="00B04F31" w:rsidRPr="00B04F31" w:rsidTr="00B04F31">
        <w:trPr>
          <w:trHeight w:val="270"/>
        </w:trPr>
        <w:tc>
          <w:tcPr>
            <w:tcW w:w="1360" w:type="dxa"/>
            <w:tcBorders>
              <w:top w:val="nil"/>
              <w:left w:val="single" w:sz="8" w:space="0" w:color="auto"/>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Dec Time[%]</w:t>
            </w:r>
          </w:p>
        </w:tc>
        <w:tc>
          <w:tcPr>
            <w:tcW w:w="294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101%</w:t>
            </w:r>
          </w:p>
        </w:tc>
        <w:tc>
          <w:tcPr>
            <w:tcW w:w="2940" w:type="dxa"/>
            <w:gridSpan w:val="3"/>
            <w:tcBorders>
              <w:top w:val="nil"/>
              <w:left w:val="nil"/>
              <w:bottom w:val="single" w:sz="8" w:space="0" w:color="auto"/>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102%</w:t>
            </w:r>
          </w:p>
        </w:tc>
      </w:tr>
      <w:tr w:rsidR="00B04F31" w:rsidRPr="00B04F31" w:rsidTr="00B04F31">
        <w:trPr>
          <w:trHeight w:val="270"/>
        </w:trPr>
        <w:tc>
          <w:tcPr>
            <w:tcW w:w="136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p>
        </w:tc>
      </w:tr>
      <w:tr w:rsidR="00B04F31" w:rsidRPr="00B04F31" w:rsidTr="00B04F31">
        <w:trPr>
          <w:trHeight w:val="270"/>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BD-rate</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20"/>
                <w:lang w:eastAsia="zh-CN"/>
              </w:rPr>
            </w:pPr>
            <w:r w:rsidRPr="00B04F31">
              <w:rPr>
                <w:rFonts w:ascii="Arial" w:eastAsia="Times New Roman" w:hAnsi="Arial" w:cs="Arial"/>
                <w:b/>
                <w:bCs/>
                <w:sz w:val="20"/>
                <w:lang w:eastAsia="zh-CN"/>
              </w:rPr>
              <w:t>Low delay</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20"/>
                <w:lang w:eastAsia="zh-CN"/>
              </w:rPr>
            </w:pPr>
            <w:r w:rsidRPr="00B04F31">
              <w:rPr>
                <w:rFonts w:ascii="Arial" w:eastAsia="Times New Roman" w:hAnsi="Arial" w:cs="Arial"/>
                <w:b/>
                <w:bCs/>
                <w:sz w:val="20"/>
                <w:lang w:eastAsia="zh-CN"/>
              </w:rPr>
              <w:t>Low delay LoCo</w:t>
            </w:r>
          </w:p>
        </w:tc>
      </w:tr>
      <w:tr w:rsidR="00B04F31" w:rsidRPr="00B04F31" w:rsidTr="00B04F31">
        <w:trPr>
          <w:trHeight w:val="270"/>
        </w:trPr>
        <w:tc>
          <w:tcPr>
            <w:tcW w:w="1360" w:type="dxa"/>
            <w:vMerge/>
            <w:tcBorders>
              <w:top w:val="single" w:sz="8" w:space="0" w:color="auto"/>
              <w:left w:val="single" w:sz="8" w:space="0" w:color="auto"/>
              <w:bottom w:val="single" w:sz="8" w:space="0" w:color="000000"/>
              <w:right w:val="single" w:sz="8" w:space="0" w:color="auto"/>
            </w:tcBorders>
            <w:vAlign w:val="center"/>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Y</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U</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V</w:t>
            </w:r>
          </w:p>
        </w:tc>
        <w:tc>
          <w:tcPr>
            <w:tcW w:w="980" w:type="dxa"/>
            <w:tcBorders>
              <w:top w:val="nil"/>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Y</w:t>
            </w:r>
          </w:p>
        </w:tc>
        <w:tc>
          <w:tcPr>
            <w:tcW w:w="980" w:type="dxa"/>
            <w:tcBorders>
              <w:top w:val="nil"/>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U</w:t>
            </w:r>
          </w:p>
        </w:tc>
        <w:tc>
          <w:tcPr>
            <w:tcW w:w="980" w:type="dxa"/>
            <w:tcBorders>
              <w:top w:val="nil"/>
              <w:left w:val="nil"/>
              <w:bottom w:val="single" w:sz="8"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V</w:t>
            </w:r>
          </w:p>
        </w:tc>
      </w:tr>
      <w:tr w:rsidR="00B04F31" w:rsidRPr="00B04F31" w:rsidTr="00B04F31">
        <w:trPr>
          <w:trHeight w:val="255"/>
        </w:trPr>
        <w:tc>
          <w:tcPr>
            <w:tcW w:w="1360" w:type="dxa"/>
            <w:tcBorders>
              <w:top w:val="nil"/>
              <w:left w:val="single" w:sz="8" w:space="0" w:color="auto"/>
              <w:bottom w:val="nil"/>
              <w:right w:val="single" w:sz="8" w:space="0" w:color="auto"/>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A</w:t>
            </w:r>
          </w:p>
        </w:tc>
        <w:tc>
          <w:tcPr>
            <w:tcW w:w="980" w:type="dxa"/>
            <w:tcBorders>
              <w:top w:val="single" w:sz="8" w:space="0" w:color="auto"/>
              <w:left w:val="nil"/>
              <w:bottom w:val="nil"/>
              <w:right w:val="nil"/>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single" w:sz="8" w:space="0" w:color="auto"/>
              <w:left w:val="nil"/>
              <w:bottom w:val="nil"/>
              <w:right w:val="nil"/>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single" w:sz="8" w:space="0" w:color="auto"/>
              <w:left w:val="nil"/>
              <w:bottom w:val="nil"/>
              <w:right w:val="single" w:sz="8" w:space="0" w:color="auto"/>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nil"/>
              <w:left w:val="nil"/>
              <w:bottom w:val="nil"/>
              <w:right w:val="nil"/>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nil"/>
              <w:left w:val="nil"/>
              <w:bottom w:val="nil"/>
              <w:right w:val="nil"/>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nil"/>
              <w:left w:val="nil"/>
              <w:bottom w:val="nil"/>
              <w:right w:val="single" w:sz="8" w:space="0" w:color="auto"/>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r>
      <w:tr w:rsidR="00B04F31" w:rsidRPr="00B04F31" w:rsidTr="00B04F31">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B</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-0.56</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-0.61</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-0.65</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-0.48</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-0.46</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-0.27</w:t>
            </w:r>
          </w:p>
        </w:tc>
      </w:tr>
      <w:tr w:rsidR="00B04F31" w:rsidRPr="00B04F31" w:rsidTr="00B04F31">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C</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-0.87</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-0.90</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-0.75</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-0.79</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-0.80</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-1.16</w:t>
            </w:r>
          </w:p>
        </w:tc>
      </w:tr>
      <w:tr w:rsidR="00B04F31" w:rsidRPr="00B04F31" w:rsidTr="00B04F31">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D</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-1.04</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-0.91</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-1.15</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-0.82</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-0.84</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-0.70</w:t>
            </w:r>
          </w:p>
        </w:tc>
      </w:tr>
      <w:tr w:rsidR="00B04F31" w:rsidRPr="00B04F31" w:rsidTr="00B04F31">
        <w:trPr>
          <w:trHeight w:val="255"/>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E</w:t>
            </w:r>
          </w:p>
        </w:tc>
        <w:tc>
          <w:tcPr>
            <w:tcW w:w="980" w:type="dxa"/>
            <w:tcBorders>
              <w:top w:val="nil"/>
              <w:left w:val="nil"/>
              <w:bottom w:val="single" w:sz="4"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-1.17</w:t>
            </w:r>
          </w:p>
        </w:tc>
        <w:tc>
          <w:tcPr>
            <w:tcW w:w="980" w:type="dxa"/>
            <w:tcBorders>
              <w:top w:val="nil"/>
              <w:left w:val="nil"/>
              <w:bottom w:val="single" w:sz="4"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-1.43</w:t>
            </w:r>
          </w:p>
        </w:tc>
        <w:tc>
          <w:tcPr>
            <w:tcW w:w="980" w:type="dxa"/>
            <w:tcBorders>
              <w:top w:val="nil"/>
              <w:left w:val="nil"/>
              <w:bottom w:val="single" w:sz="4"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-0.72</w:t>
            </w:r>
          </w:p>
        </w:tc>
        <w:tc>
          <w:tcPr>
            <w:tcW w:w="980" w:type="dxa"/>
            <w:tcBorders>
              <w:top w:val="nil"/>
              <w:left w:val="nil"/>
              <w:bottom w:val="single" w:sz="4"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-0.98</w:t>
            </w:r>
          </w:p>
        </w:tc>
        <w:tc>
          <w:tcPr>
            <w:tcW w:w="980" w:type="dxa"/>
            <w:tcBorders>
              <w:top w:val="nil"/>
              <w:left w:val="nil"/>
              <w:bottom w:val="single" w:sz="4"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-0.85</w:t>
            </w:r>
          </w:p>
        </w:tc>
        <w:tc>
          <w:tcPr>
            <w:tcW w:w="980" w:type="dxa"/>
            <w:tcBorders>
              <w:top w:val="nil"/>
              <w:left w:val="nil"/>
              <w:bottom w:val="single" w:sz="4"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-0.79</w:t>
            </w:r>
          </w:p>
        </w:tc>
      </w:tr>
      <w:tr w:rsidR="00B04F31" w:rsidRPr="00B04F31" w:rsidTr="00B04F31">
        <w:trPr>
          <w:trHeight w:val="270"/>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All</w:t>
            </w:r>
          </w:p>
        </w:tc>
        <w:tc>
          <w:tcPr>
            <w:tcW w:w="980" w:type="dxa"/>
            <w:tcBorders>
              <w:top w:val="nil"/>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-0.87</w:t>
            </w:r>
          </w:p>
        </w:tc>
        <w:tc>
          <w:tcPr>
            <w:tcW w:w="980" w:type="dxa"/>
            <w:tcBorders>
              <w:top w:val="nil"/>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-0.91</w:t>
            </w:r>
          </w:p>
        </w:tc>
        <w:tc>
          <w:tcPr>
            <w:tcW w:w="980" w:type="dxa"/>
            <w:tcBorders>
              <w:top w:val="nil"/>
              <w:left w:val="nil"/>
              <w:bottom w:val="single" w:sz="8"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-0.81</w:t>
            </w:r>
          </w:p>
        </w:tc>
        <w:tc>
          <w:tcPr>
            <w:tcW w:w="980" w:type="dxa"/>
            <w:tcBorders>
              <w:top w:val="nil"/>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-0.74</w:t>
            </w:r>
          </w:p>
        </w:tc>
        <w:tc>
          <w:tcPr>
            <w:tcW w:w="980" w:type="dxa"/>
            <w:tcBorders>
              <w:top w:val="nil"/>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-0.71</w:t>
            </w:r>
          </w:p>
        </w:tc>
        <w:tc>
          <w:tcPr>
            <w:tcW w:w="980" w:type="dxa"/>
            <w:tcBorders>
              <w:top w:val="nil"/>
              <w:left w:val="nil"/>
              <w:bottom w:val="single" w:sz="8"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-0.70</w:t>
            </w:r>
          </w:p>
        </w:tc>
      </w:tr>
      <w:tr w:rsidR="00B04F31" w:rsidRPr="00B04F31" w:rsidTr="00B04F31">
        <w:trPr>
          <w:trHeight w:val="255"/>
        </w:trPr>
        <w:tc>
          <w:tcPr>
            <w:tcW w:w="1360" w:type="dxa"/>
            <w:tcBorders>
              <w:top w:val="nil"/>
              <w:left w:val="single" w:sz="8" w:space="0" w:color="auto"/>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Enc Time[%]</w:t>
            </w:r>
          </w:p>
        </w:tc>
        <w:tc>
          <w:tcPr>
            <w:tcW w:w="29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98%</w:t>
            </w:r>
          </w:p>
        </w:tc>
        <w:tc>
          <w:tcPr>
            <w:tcW w:w="2940" w:type="dxa"/>
            <w:gridSpan w:val="3"/>
            <w:tcBorders>
              <w:top w:val="single" w:sz="8" w:space="0" w:color="auto"/>
              <w:left w:val="nil"/>
              <w:bottom w:val="nil"/>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95%</w:t>
            </w:r>
          </w:p>
        </w:tc>
      </w:tr>
      <w:tr w:rsidR="00B04F31" w:rsidRPr="00B04F31" w:rsidTr="00B04F31">
        <w:trPr>
          <w:trHeight w:val="270"/>
        </w:trPr>
        <w:tc>
          <w:tcPr>
            <w:tcW w:w="1360" w:type="dxa"/>
            <w:tcBorders>
              <w:top w:val="nil"/>
              <w:left w:val="single" w:sz="8" w:space="0" w:color="auto"/>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Dec Time[%]</w:t>
            </w:r>
          </w:p>
        </w:tc>
        <w:tc>
          <w:tcPr>
            <w:tcW w:w="294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102%</w:t>
            </w:r>
          </w:p>
        </w:tc>
        <w:tc>
          <w:tcPr>
            <w:tcW w:w="2940" w:type="dxa"/>
            <w:gridSpan w:val="3"/>
            <w:tcBorders>
              <w:top w:val="nil"/>
              <w:left w:val="nil"/>
              <w:bottom w:val="single" w:sz="8" w:space="0" w:color="auto"/>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103%</w:t>
            </w:r>
          </w:p>
        </w:tc>
      </w:tr>
    </w:tbl>
    <w:p w:rsidR="00BE0B83" w:rsidRPr="00BE0B83" w:rsidRDefault="000273CF" w:rsidP="000273CF">
      <w:pPr>
        <w:pStyle w:val="Caption"/>
        <w:jc w:val="center"/>
      </w:pPr>
      <w:r>
        <w:t xml:space="preserve">Table </w:t>
      </w:r>
      <w:fldSimple w:instr=" SEQ Table \* ARABIC ">
        <w:r>
          <w:rPr>
            <w:noProof/>
          </w:rPr>
          <w:t>1</w:t>
        </w:r>
      </w:fldSimple>
      <w:bookmarkEnd w:id="1"/>
      <w:r>
        <w:t xml:space="preserve"> BD rate reduction of the proposed scheme</w:t>
      </w:r>
    </w:p>
    <w:p w:rsidR="0075342A" w:rsidRDefault="0075342A" w:rsidP="0075342A">
      <w:pPr>
        <w:pStyle w:val="Heading1"/>
        <w:numPr>
          <w:ilvl w:val="0"/>
          <w:numId w:val="0"/>
        </w:numPr>
        <w:ind w:left="432"/>
      </w:pPr>
    </w:p>
    <w:p w:rsidR="00776D63" w:rsidRPr="009F1E60" w:rsidRDefault="00776D63" w:rsidP="00776D63">
      <w:pPr>
        <w:pStyle w:val="Heading1"/>
      </w:pPr>
      <w:r w:rsidRPr="009F1E60">
        <w:t>Conclusion</w:t>
      </w:r>
    </w:p>
    <w:p w:rsidR="00BE0447" w:rsidRDefault="003F4597" w:rsidP="00A009C7">
      <w:pPr>
        <w:tabs>
          <w:tab w:val="clear" w:pos="360"/>
          <w:tab w:val="clear" w:pos="720"/>
          <w:tab w:val="clear" w:pos="1080"/>
          <w:tab w:val="clear" w:pos="1440"/>
        </w:tabs>
        <w:spacing w:before="0"/>
        <w:jc w:val="both"/>
      </w:pPr>
      <w:r>
        <w:t xml:space="preserve">In this contribution, OBMC technique is applied to 2NxN and Nx2N block </w:t>
      </w:r>
      <w:r w:rsidR="00CC7F7F">
        <w:t>partition</w:t>
      </w:r>
      <w:r>
        <w:t xml:space="preserve"> in HM2.0. We observe </w:t>
      </w:r>
      <w:r w:rsidR="005225AD">
        <w:t xml:space="preserve">on average </w:t>
      </w:r>
      <w:r w:rsidR="005225AD">
        <w:rPr>
          <w:szCs w:val="22"/>
          <w:lang w:eastAsia="ja-JP"/>
        </w:rPr>
        <w:t>0.54</w:t>
      </w:r>
      <w:r w:rsidR="005225AD" w:rsidRPr="00051105">
        <w:rPr>
          <w:szCs w:val="22"/>
        </w:rPr>
        <w:t>%</w:t>
      </w:r>
      <w:r w:rsidR="005225AD">
        <w:rPr>
          <w:rFonts w:hint="eastAsia"/>
          <w:szCs w:val="22"/>
          <w:lang w:eastAsia="ja-JP"/>
        </w:rPr>
        <w:t xml:space="preserve"> </w:t>
      </w:r>
      <w:r w:rsidR="005225AD">
        <w:rPr>
          <w:szCs w:val="22"/>
          <w:lang w:eastAsia="ja-JP"/>
        </w:rPr>
        <w:t>bit rate reduction in</w:t>
      </w:r>
      <w:r w:rsidR="005225AD">
        <w:rPr>
          <w:szCs w:val="22"/>
        </w:rPr>
        <w:t xml:space="preserve"> </w:t>
      </w:r>
      <w:r w:rsidR="005225AD">
        <w:rPr>
          <w:rFonts w:hint="eastAsia"/>
          <w:szCs w:val="22"/>
          <w:lang w:eastAsia="ja-JP"/>
        </w:rPr>
        <w:t>random access case,</w:t>
      </w:r>
      <w:r w:rsidR="005225AD">
        <w:rPr>
          <w:szCs w:val="22"/>
        </w:rPr>
        <w:t xml:space="preserve"> and</w:t>
      </w:r>
      <w:r w:rsidR="005225AD" w:rsidRPr="0073756E">
        <w:rPr>
          <w:rFonts w:hint="eastAsia"/>
          <w:szCs w:val="22"/>
          <w:lang w:eastAsia="ja-JP"/>
        </w:rPr>
        <w:t xml:space="preserve"> </w:t>
      </w:r>
      <w:r w:rsidR="005225AD">
        <w:rPr>
          <w:szCs w:val="22"/>
          <w:lang w:eastAsia="ja-JP"/>
        </w:rPr>
        <w:t>0.81</w:t>
      </w:r>
      <w:r w:rsidR="005225AD">
        <w:rPr>
          <w:rFonts w:hint="eastAsia"/>
          <w:szCs w:val="22"/>
          <w:lang w:eastAsia="ja-JP"/>
        </w:rPr>
        <w:t xml:space="preserve">% </w:t>
      </w:r>
      <w:r w:rsidR="005225AD">
        <w:rPr>
          <w:szCs w:val="22"/>
        </w:rPr>
        <w:t xml:space="preserve">for low </w:t>
      </w:r>
      <w:r w:rsidR="005225AD">
        <w:rPr>
          <w:rFonts w:hint="eastAsia"/>
          <w:szCs w:val="22"/>
          <w:lang w:eastAsia="ja-JP"/>
        </w:rPr>
        <w:t>delay cas</w:t>
      </w:r>
      <w:r w:rsidR="005225AD">
        <w:rPr>
          <w:szCs w:val="22"/>
          <w:lang w:eastAsia="ja-JP"/>
        </w:rPr>
        <w:t xml:space="preserve">e. There is slight encoding time reduction and decoding time increase. We recommend OBMC integrated into HM software. </w:t>
      </w:r>
    </w:p>
    <w:p w:rsidR="00BE0B83" w:rsidRDefault="00AA3DAF" w:rsidP="00AA3DAF">
      <w:pPr>
        <w:pStyle w:val="Heading1"/>
      </w:pPr>
      <w:r w:rsidRPr="00AA3DAF">
        <w:t>References</w:t>
      </w:r>
    </w:p>
    <w:p w:rsidR="00BE0447" w:rsidRDefault="00BE0447" w:rsidP="00BE0447">
      <w:pPr>
        <w:numPr>
          <w:ilvl w:val="0"/>
          <w:numId w:val="12"/>
        </w:numPr>
        <w:tabs>
          <w:tab w:val="clear" w:pos="360"/>
          <w:tab w:val="clear" w:pos="720"/>
          <w:tab w:val="clear" w:pos="1080"/>
          <w:tab w:val="clear" w:pos="1440"/>
        </w:tabs>
        <w:spacing w:before="0"/>
        <w:ind w:left="360"/>
        <w:jc w:val="both"/>
      </w:pPr>
      <w:r>
        <w:t xml:space="preserve">P. Chen, R. Panchal, W. Chieng and M. </w:t>
      </w:r>
      <w:r w:rsidRPr="005F7086">
        <w:rPr>
          <w:szCs w:val="22"/>
        </w:rPr>
        <w:t>Karczewicz</w:t>
      </w:r>
      <w:r>
        <w:rPr>
          <w:szCs w:val="22"/>
        </w:rPr>
        <w:t>,</w:t>
      </w:r>
      <w:r w:rsidRPr="00F23C9E">
        <w:t xml:space="preserve"> </w:t>
      </w:r>
      <w:r>
        <w:t>“</w:t>
      </w:r>
      <w:r w:rsidRPr="00F23C9E">
        <w:t>Overlapped block motion compensation in T</w:t>
      </w:r>
      <w:r>
        <w:t>M</w:t>
      </w:r>
      <w:r w:rsidRPr="00F23C9E">
        <w:t>uC</w:t>
      </w:r>
      <w:r>
        <w:t>”,</w:t>
      </w:r>
      <w:r w:rsidRPr="00F23C9E">
        <w:t xml:space="preserve"> </w:t>
      </w:r>
      <w:r>
        <w:t>JCTVC-C251,</w:t>
      </w:r>
      <w:r w:rsidRPr="00807EA1">
        <w:t xml:space="preserve"> JCT-VC Meeting, </w:t>
      </w:r>
      <w:r>
        <w:t>Guangzhou, CN</w:t>
      </w:r>
      <w:r w:rsidRPr="00807EA1">
        <w:t xml:space="preserve">, </w:t>
      </w:r>
      <w:r>
        <w:t>Oct.</w:t>
      </w:r>
      <w:r w:rsidRPr="00807EA1">
        <w:t xml:space="preserve"> 2010. </w:t>
      </w:r>
    </w:p>
    <w:p w:rsidR="00BE0447" w:rsidRDefault="00BE0447" w:rsidP="00BE0447">
      <w:pPr>
        <w:numPr>
          <w:ilvl w:val="0"/>
          <w:numId w:val="12"/>
        </w:numPr>
        <w:tabs>
          <w:tab w:val="clear" w:pos="360"/>
          <w:tab w:val="clear" w:pos="720"/>
          <w:tab w:val="clear" w:pos="1080"/>
          <w:tab w:val="clear" w:pos="1440"/>
        </w:tabs>
        <w:spacing w:before="0"/>
        <w:ind w:left="360"/>
        <w:jc w:val="both"/>
        <w:rPr>
          <w:szCs w:val="22"/>
        </w:rPr>
      </w:pPr>
      <w:r w:rsidRPr="00BE0447">
        <w:rPr>
          <w:szCs w:val="22"/>
        </w:rPr>
        <w:t>L. Guo, P. Chen,</w:t>
      </w:r>
      <w:r w:rsidR="00E1283F">
        <w:rPr>
          <w:szCs w:val="22"/>
        </w:rPr>
        <w:t xml:space="preserve"> and M. Karczewicz</w:t>
      </w:r>
      <w:r w:rsidRPr="00BE0447">
        <w:rPr>
          <w:szCs w:val="22"/>
        </w:rPr>
        <w:t xml:space="preserve"> “CE2: </w:t>
      </w:r>
      <w:r w:rsidR="00E1283F" w:rsidRPr="00E1283F">
        <w:rPr>
          <w:szCs w:val="22"/>
        </w:rPr>
        <w:t>Overlapped Block Motion Compensation for Geometry Partition Block</w:t>
      </w:r>
      <w:r w:rsidRPr="00BE0447">
        <w:rPr>
          <w:szCs w:val="22"/>
        </w:rPr>
        <w:t>”,</w:t>
      </w:r>
      <w:r w:rsidRPr="00E1283F">
        <w:rPr>
          <w:szCs w:val="22"/>
        </w:rPr>
        <w:t xml:space="preserve"> </w:t>
      </w:r>
      <w:r w:rsidR="00E1283F">
        <w:rPr>
          <w:szCs w:val="22"/>
        </w:rPr>
        <w:t>JCTVC-D368</w:t>
      </w:r>
      <w:r w:rsidRPr="00E1283F">
        <w:rPr>
          <w:szCs w:val="22"/>
        </w:rPr>
        <w:t xml:space="preserve">, JCT-VC Meeting, Daegu, KR, Jan. 2011. </w:t>
      </w:r>
    </w:p>
    <w:p w:rsidR="00E1283F" w:rsidRDefault="00E1283F" w:rsidP="00BE0447">
      <w:pPr>
        <w:numPr>
          <w:ilvl w:val="0"/>
          <w:numId w:val="12"/>
        </w:numPr>
        <w:tabs>
          <w:tab w:val="clear" w:pos="360"/>
          <w:tab w:val="clear" w:pos="720"/>
          <w:tab w:val="clear" w:pos="1080"/>
          <w:tab w:val="clear" w:pos="1440"/>
        </w:tabs>
        <w:spacing w:before="0"/>
        <w:ind w:left="360"/>
        <w:jc w:val="both"/>
        <w:rPr>
          <w:szCs w:val="22"/>
        </w:rPr>
      </w:pPr>
      <w:r w:rsidRPr="00E1283F">
        <w:rPr>
          <w:szCs w:val="22"/>
        </w:rPr>
        <w:t xml:space="preserve">M.-S. Cheon, I.-K. Kim, L. Guo, P. Chen, </w:t>
      </w:r>
      <w:r>
        <w:rPr>
          <w:szCs w:val="22"/>
        </w:rPr>
        <w:t xml:space="preserve">and </w:t>
      </w:r>
      <w:r w:rsidRPr="00E1283F">
        <w:rPr>
          <w:szCs w:val="22"/>
        </w:rPr>
        <w:t xml:space="preserve">M. Karczewicz, </w:t>
      </w:r>
      <w:r>
        <w:rPr>
          <w:szCs w:val="22"/>
        </w:rPr>
        <w:t xml:space="preserve"> “</w:t>
      </w:r>
      <w:r w:rsidRPr="00E1283F">
        <w:rPr>
          <w:szCs w:val="22"/>
        </w:rPr>
        <w:t>CE2: Asymmetric motion partition with overlapped block motion compensation</w:t>
      </w:r>
      <w:r>
        <w:rPr>
          <w:szCs w:val="22"/>
        </w:rPr>
        <w:t>”,</w:t>
      </w:r>
      <w:r w:rsidRPr="00E1283F">
        <w:rPr>
          <w:szCs w:val="22"/>
        </w:rPr>
        <w:t xml:space="preserve"> </w:t>
      </w:r>
      <w:r>
        <w:rPr>
          <w:szCs w:val="22"/>
        </w:rPr>
        <w:t>JCTVC-D367</w:t>
      </w:r>
      <w:r w:rsidRPr="00E1283F">
        <w:rPr>
          <w:szCs w:val="22"/>
        </w:rPr>
        <w:t>, JCT-VC Meeting, Daegu, KR, Jan. 2011</w:t>
      </w:r>
      <w:r>
        <w:rPr>
          <w:szCs w:val="22"/>
        </w:rPr>
        <w:t>.</w:t>
      </w:r>
    </w:p>
    <w:p w:rsidR="000273CF" w:rsidRPr="00E1283F" w:rsidRDefault="000273CF" w:rsidP="000273CF">
      <w:pPr>
        <w:numPr>
          <w:ilvl w:val="0"/>
          <w:numId w:val="12"/>
        </w:numPr>
        <w:tabs>
          <w:tab w:val="clear" w:pos="360"/>
          <w:tab w:val="clear" w:pos="720"/>
          <w:tab w:val="clear" w:pos="1080"/>
          <w:tab w:val="clear" w:pos="1440"/>
        </w:tabs>
        <w:spacing w:before="0"/>
        <w:ind w:left="360"/>
        <w:jc w:val="both"/>
        <w:rPr>
          <w:szCs w:val="22"/>
        </w:rPr>
      </w:pPr>
      <w:r>
        <w:rPr>
          <w:szCs w:val="22"/>
        </w:rPr>
        <w:t>F</w:t>
      </w:r>
      <w:r w:rsidRPr="00E1283F">
        <w:rPr>
          <w:szCs w:val="22"/>
        </w:rPr>
        <w:t>.</w:t>
      </w:r>
      <w:r>
        <w:rPr>
          <w:szCs w:val="22"/>
        </w:rPr>
        <w:t>Bossen</w:t>
      </w:r>
      <w:r w:rsidRPr="00E1283F">
        <w:rPr>
          <w:szCs w:val="22"/>
        </w:rPr>
        <w:t xml:space="preserve">, </w:t>
      </w:r>
      <w:r>
        <w:rPr>
          <w:szCs w:val="22"/>
        </w:rPr>
        <w:t>“</w:t>
      </w:r>
      <w:r w:rsidRPr="000273CF">
        <w:rPr>
          <w:szCs w:val="22"/>
        </w:rPr>
        <w:t>Common test conditions and software reference configurations</w:t>
      </w:r>
      <w:r>
        <w:rPr>
          <w:szCs w:val="22"/>
        </w:rPr>
        <w:t>”,</w:t>
      </w:r>
      <w:r w:rsidRPr="00E1283F">
        <w:rPr>
          <w:szCs w:val="22"/>
        </w:rPr>
        <w:t xml:space="preserve"> </w:t>
      </w:r>
      <w:r>
        <w:rPr>
          <w:szCs w:val="22"/>
        </w:rPr>
        <w:t>JCTVC-D600</w:t>
      </w:r>
      <w:r w:rsidRPr="00E1283F">
        <w:rPr>
          <w:szCs w:val="22"/>
        </w:rPr>
        <w:t>, JCT-VC Meeting, Daegu, KR, Jan. 2011</w:t>
      </w:r>
      <w:r>
        <w:rPr>
          <w:szCs w:val="22"/>
        </w:rPr>
        <w:t>.</w:t>
      </w:r>
    </w:p>
    <w:p w:rsidR="000273CF" w:rsidRPr="00E1283F" w:rsidRDefault="000273CF" w:rsidP="000273CF">
      <w:pPr>
        <w:tabs>
          <w:tab w:val="clear" w:pos="360"/>
          <w:tab w:val="clear" w:pos="720"/>
          <w:tab w:val="clear" w:pos="1080"/>
          <w:tab w:val="clear" w:pos="1440"/>
        </w:tabs>
        <w:spacing w:before="0"/>
        <w:ind w:left="360"/>
        <w:jc w:val="both"/>
        <w:rPr>
          <w:szCs w:val="22"/>
        </w:rPr>
      </w:pPr>
    </w:p>
    <w:p w:rsidR="00BE0447" w:rsidRDefault="00BE0447" w:rsidP="00BE0447">
      <w:pPr>
        <w:tabs>
          <w:tab w:val="clear" w:pos="360"/>
          <w:tab w:val="clear" w:pos="720"/>
          <w:tab w:val="clear" w:pos="1080"/>
          <w:tab w:val="clear" w:pos="1440"/>
        </w:tabs>
        <w:spacing w:before="0"/>
        <w:ind w:left="360"/>
        <w:jc w:val="both"/>
      </w:pPr>
    </w:p>
    <w:p w:rsidR="00B0060F" w:rsidRDefault="00B0060F" w:rsidP="00680585">
      <w:pPr>
        <w:pStyle w:val="Heading1"/>
        <w:numPr>
          <w:ilvl w:val="0"/>
          <w:numId w:val="0"/>
        </w:numPr>
      </w:pPr>
    </w:p>
    <w:p w:rsidR="00B0060F" w:rsidRPr="002B191D" w:rsidRDefault="00B0060F" w:rsidP="00B0060F">
      <w:pPr>
        <w:pStyle w:val="Heading1"/>
      </w:pPr>
      <w:r w:rsidRPr="00E11923">
        <w:t>Patent</w:t>
      </w:r>
      <w:r w:rsidRPr="002B191D">
        <w:t xml:space="preserve"> rights declaration(s)</w:t>
      </w:r>
    </w:p>
    <w:p w:rsidR="00B0060F" w:rsidRDefault="00BE0447" w:rsidP="00B0060F">
      <w:pPr>
        <w:jc w:val="both"/>
        <w:rPr>
          <w:szCs w:val="22"/>
        </w:rPr>
      </w:pPr>
      <w:r w:rsidRPr="00BE0447">
        <w:rPr>
          <w:b/>
          <w:szCs w:val="22"/>
        </w:rPr>
        <w:t xml:space="preserve">Qualcomm </w:t>
      </w:r>
      <w:r w:rsidR="00B0060F" w:rsidRPr="00A01439">
        <w:rPr>
          <w:b/>
          <w:szCs w:val="22"/>
        </w:rPr>
        <w:t xml:space="preserve">may have IPR relating to the technology described </w:t>
      </w:r>
      <w:r w:rsidR="00B0060F">
        <w:rPr>
          <w:b/>
          <w:szCs w:val="22"/>
        </w:rPr>
        <w:t xml:space="preserve">in </w:t>
      </w:r>
      <w:r w:rsidR="00B0060F" w:rsidRPr="00A01439">
        <w:rPr>
          <w:b/>
          <w:szCs w:val="22"/>
        </w:rPr>
        <w:t>this contribution and, conditioned on reciprocity, is prepared to grant licenses under reasonable and non-discriminatory terms as necessary for implementation of the resulting ITU-T Recommendation</w:t>
      </w:r>
      <w:r w:rsidR="00B0060F">
        <w:rPr>
          <w:b/>
          <w:szCs w:val="22"/>
        </w:rPr>
        <w:t xml:space="preserve"> | ISO/IEC International Standard</w:t>
      </w:r>
      <w:r w:rsidR="00B0060F" w:rsidRPr="00A01439">
        <w:rPr>
          <w:b/>
          <w:szCs w:val="22"/>
        </w:rPr>
        <w:t xml:space="preserve"> (per box 2 of the ITU-T/ITU-R/ISO/IEC patent statement and licensing declaration form).</w:t>
      </w:r>
    </w:p>
    <w:p w:rsidR="00B0060F" w:rsidRPr="009234A5" w:rsidRDefault="00B0060F" w:rsidP="00B0060F">
      <w:pPr>
        <w:jc w:val="both"/>
        <w:rPr>
          <w:szCs w:val="22"/>
        </w:rPr>
      </w:pPr>
    </w:p>
    <w:p w:rsidR="00DB47D1" w:rsidRPr="00382F17" w:rsidRDefault="00DB47D1" w:rsidP="00A009C7">
      <w:pPr>
        <w:pStyle w:val="Heading1"/>
        <w:numPr>
          <w:ilvl w:val="0"/>
          <w:numId w:val="0"/>
        </w:numPr>
        <w:rPr>
          <w:lang w:eastAsia="ja-JP"/>
        </w:rPr>
      </w:pPr>
    </w:p>
    <w:sectPr w:rsidR="00DB47D1" w:rsidRPr="00382F17" w:rsidSect="00A041D5">
      <w:pgSz w:w="12240" w:h="15840" w:code="1"/>
      <w:pgMar w:top="864" w:right="1440" w:bottom="864" w:left="1440" w:header="432" w:footer="432" w:gutter="0"/>
      <w:pgBorders w:offsetFrom="page">
        <w:bottom w:val="single" w:sz="12"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9D7" w:rsidRDefault="00A009D7">
      <w:r>
        <w:separator/>
      </w:r>
    </w:p>
  </w:endnote>
  <w:endnote w:type="continuationSeparator" w:id="0">
    <w:p w:rsidR="00A009D7" w:rsidRDefault="00A009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9D7" w:rsidRDefault="00A009D7">
      <w:r>
        <w:separator/>
      </w:r>
    </w:p>
  </w:footnote>
  <w:footnote w:type="continuationSeparator" w:id="0">
    <w:p w:rsidR="00A009D7" w:rsidRDefault="00A009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344016"/>
    <w:multiLevelType w:val="hybridMultilevel"/>
    <w:tmpl w:val="7AC69ED2"/>
    <w:lvl w:ilvl="0" w:tplc="9202C880">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07970"/>
    <w:multiLevelType w:val="hybridMultilevel"/>
    <w:tmpl w:val="FA529E14"/>
    <w:lvl w:ilvl="0" w:tplc="19EE3F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9A86C72"/>
    <w:multiLevelType w:val="hybridMultilevel"/>
    <w:tmpl w:val="63C4B4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5C6BB7"/>
    <w:multiLevelType w:val="hybridMultilevel"/>
    <w:tmpl w:val="24C2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29336D8"/>
    <w:multiLevelType w:val="hybridMultilevel"/>
    <w:tmpl w:val="BD2AAA56"/>
    <w:lvl w:ilvl="0" w:tplc="04090003">
      <w:start w:val="1"/>
      <w:numFmt w:val="bullet"/>
      <w:lvlText w:val=""/>
      <w:lvlJc w:val="left"/>
      <w:pPr>
        <w:ind w:left="420" w:hanging="420"/>
      </w:pPr>
      <w:rPr>
        <w:rFonts w:ascii="Wingdings" w:hAnsi="Wingdings" w:hint="default"/>
      </w:rPr>
    </w:lvl>
    <w:lvl w:ilvl="1" w:tplc="CCE27728">
      <w:start w:val="1"/>
      <w:numFmt w:val="bullet"/>
      <w:lvlText w:val="–"/>
      <w:lvlJc w:val="left"/>
      <w:pPr>
        <w:ind w:left="840" w:hanging="420"/>
      </w:pPr>
      <w:rPr>
        <w:rFonts w:ascii="Courier New" w:hAnsi="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36300C4"/>
    <w:multiLevelType w:val="hybridMultilevel"/>
    <w:tmpl w:val="B5589DC4"/>
    <w:lvl w:ilvl="0" w:tplc="80EEC7C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7CC2713F"/>
    <w:multiLevelType w:val="hybridMultilevel"/>
    <w:tmpl w:val="B2480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15"/>
  </w:num>
  <w:num w:numId="12">
    <w:abstractNumId w:val="7"/>
  </w:num>
  <w:num w:numId="13">
    <w:abstractNumId w:val="14"/>
  </w:num>
  <w:num w:numId="14">
    <w:abstractNumId w:val="4"/>
  </w:num>
  <w:num w:numId="15">
    <w:abstractNumId w:val="9"/>
  </w:num>
  <w:num w:numId="16">
    <w:abstractNumId w:val="3"/>
  </w:num>
  <w:num w:numId="17">
    <w:abstractNumId w:val="1"/>
  </w:num>
  <w:num w:numId="18">
    <w:abstractNumId w:val="16"/>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237C0"/>
    <w:rsid w:val="00024621"/>
    <w:rsid w:val="000273CF"/>
    <w:rsid w:val="000450C4"/>
    <w:rsid w:val="000458BC"/>
    <w:rsid w:val="00045C41"/>
    <w:rsid w:val="00046C03"/>
    <w:rsid w:val="00046CB9"/>
    <w:rsid w:val="0005253D"/>
    <w:rsid w:val="00055A05"/>
    <w:rsid w:val="00067B20"/>
    <w:rsid w:val="000736C1"/>
    <w:rsid w:val="0007614F"/>
    <w:rsid w:val="00084800"/>
    <w:rsid w:val="000910BC"/>
    <w:rsid w:val="000A02EB"/>
    <w:rsid w:val="000A0B78"/>
    <w:rsid w:val="000B1C6B"/>
    <w:rsid w:val="000B3365"/>
    <w:rsid w:val="000B51F3"/>
    <w:rsid w:val="000C09AC"/>
    <w:rsid w:val="000C3E8A"/>
    <w:rsid w:val="000C43CE"/>
    <w:rsid w:val="000C5505"/>
    <w:rsid w:val="000D0421"/>
    <w:rsid w:val="000D2465"/>
    <w:rsid w:val="000D2C3C"/>
    <w:rsid w:val="000E00F3"/>
    <w:rsid w:val="000E16DE"/>
    <w:rsid w:val="000E448A"/>
    <w:rsid w:val="000E493C"/>
    <w:rsid w:val="000F158C"/>
    <w:rsid w:val="000F1B62"/>
    <w:rsid w:val="00102B5C"/>
    <w:rsid w:val="00103D3E"/>
    <w:rsid w:val="00103D64"/>
    <w:rsid w:val="00105F9E"/>
    <w:rsid w:val="00110FA7"/>
    <w:rsid w:val="00111E75"/>
    <w:rsid w:val="00124782"/>
    <w:rsid w:val="001247FB"/>
    <w:rsid w:val="00124E38"/>
    <w:rsid w:val="0012580B"/>
    <w:rsid w:val="00125810"/>
    <w:rsid w:val="001263B4"/>
    <w:rsid w:val="0013220D"/>
    <w:rsid w:val="0013301F"/>
    <w:rsid w:val="0013467C"/>
    <w:rsid w:val="0013526E"/>
    <w:rsid w:val="0013537F"/>
    <w:rsid w:val="001472C5"/>
    <w:rsid w:val="00171371"/>
    <w:rsid w:val="00175A24"/>
    <w:rsid w:val="001810E4"/>
    <w:rsid w:val="00181E7E"/>
    <w:rsid w:val="0018559A"/>
    <w:rsid w:val="00185DAF"/>
    <w:rsid w:val="00187E58"/>
    <w:rsid w:val="001922C1"/>
    <w:rsid w:val="001A17A1"/>
    <w:rsid w:val="001A297E"/>
    <w:rsid w:val="001A368E"/>
    <w:rsid w:val="001A7329"/>
    <w:rsid w:val="001B4E28"/>
    <w:rsid w:val="001C2D1D"/>
    <w:rsid w:val="001C3525"/>
    <w:rsid w:val="001D1BD2"/>
    <w:rsid w:val="001D2085"/>
    <w:rsid w:val="001D2A14"/>
    <w:rsid w:val="001E02BE"/>
    <w:rsid w:val="001E2E7A"/>
    <w:rsid w:val="001E3B37"/>
    <w:rsid w:val="001E44D3"/>
    <w:rsid w:val="001E525D"/>
    <w:rsid w:val="001E5D45"/>
    <w:rsid w:val="001F2594"/>
    <w:rsid w:val="00205972"/>
    <w:rsid w:val="00206460"/>
    <w:rsid w:val="002069B4"/>
    <w:rsid w:val="00212B80"/>
    <w:rsid w:val="00215DFC"/>
    <w:rsid w:val="002175EE"/>
    <w:rsid w:val="002212DF"/>
    <w:rsid w:val="00227BA7"/>
    <w:rsid w:val="0023799C"/>
    <w:rsid w:val="00246F34"/>
    <w:rsid w:val="002514C4"/>
    <w:rsid w:val="00255076"/>
    <w:rsid w:val="00257551"/>
    <w:rsid w:val="00263F2D"/>
    <w:rsid w:val="00264C70"/>
    <w:rsid w:val="00266400"/>
    <w:rsid w:val="00275BCF"/>
    <w:rsid w:val="00283A4A"/>
    <w:rsid w:val="00284A27"/>
    <w:rsid w:val="00284DBF"/>
    <w:rsid w:val="00286807"/>
    <w:rsid w:val="002916B4"/>
    <w:rsid w:val="00292257"/>
    <w:rsid w:val="00293A88"/>
    <w:rsid w:val="002A5187"/>
    <w:rsid w:val="002A54E0"/>
    <w:rsid w:val="002B0C18"/>
    <w:rsid w:val="002B13B8"/>
    <w:rsid w:val="002B1595"/>
    <w:rsid w:val="002B191D"/>
    <w:rsid w:val="002B399E"/>
    <w:rsid w:val="002D0AF6"/>
    <w:rsid w:val="002D425E"/>
    <w:rsid w:val="002D77E9"/>
    <w:rsid w:val="002D7D8F"/>
    <w:rsid w:val="002E4E7E"/>
    <w:rsid w:val="002E5B00"/>
    <w:rsid w:val="002F00CB"/>
    <w:rsid w:val="002F05FB"/>
    <w:rsid w:val="002F164D"/>
    <w:rsid w:val="00306206"/>
    <w:rsid w:val="00317D5A"/>
    <w:rsid w:val="00322AC9"/>
    <w:rsid w:val="00327C56"/>
    <w:rsid w:val="00330DED"/>
    <w:rsid w:val="003315A1"/>
    <w:rsid w:val="00335705"/>
    <w:rsid w:val="00335B32"/>
    <w:rsid w:val="00336CB8"/>
    <w:rsid w:val="003373EC"/>
    <w:rsid w:val="0034119C"/>
    <w:rsid w:val="00346E35"/>
    <w:rsid w:val="003472F2"/>
    <w:rsid w:val="003507E8"/>
    <w:rsid w:val="003615B4"/>
    <w:rsid w:val="00362B76"/>
    <w:rsid w:val="003706CC"/>
    <w:rsid w:val="003739C5"/>
    <w:rsid w:val="0038381D"/>
    <w:rsid w:val="003A1118"/>
    <w:rsid w:val="003A2D8E"/>
    <w:rsid w:val="003A53DF"/>
    <w:rsid w:val="003A63BE"/>
    <w:rsid w:val="003A645F"/>
    <w:rsid w:val="003B43B3"/>
    <w:rsid w:val="003B70C5"/>
    <w:rsid w:val="003C20E4"/>
    <w:rsid w:val="003C6956"/>
    <w:rsid w:val="003E6F90"/>
    <w:rsid w:val="003F08B2"/>
    <w:rsid w:val="003F22E0"/>
    <w:rsid w:val="003F3575"/>
    <w:rsid w:val="003F4597"/>
    <w:rsid w:val="003F5D0F"/>
    <w:rsid w:val="003F72DF"/>
    <w:rsid w:val="004022EE"/>
    <w:rsid w:val="00402C66"/>
    <w:rsid w:val="004057D9"/>
    <w:rsid w:val="004063C1"/>
    <w:rsid w:val="00410ACF"/>
    <w:rsid w:val="00414101"/>
    <w:rsid w:val="00417C04"/>
    <w:rsid w:val="00417D79"/>
    <w:rsid w:val="00430BBB"/>
    <w:rsid w:val="00433DDB"/>
    <w:rsid w:val="00437619"/>
    <w:rsid w:val="004479CD"/>
    <w:rsid w:val="0045556C"/>
    <w:rsid w:val="0048305A"/>
    <w:rsid w:val="00485847"/>
    <w:rsid w:val="00486A4C"/>
    <w:rsid w:val="004B1C63"/>
    <w:rsid w:val="004B210C"/>
    <w:rsid w:val="004B2280"/>
    <w:rsid w:val="004B7892"/>
    <w:rsid w:val="004B7EDC"/>
    <w:rsid w:val="004C08AF"/>
    <w:rsid w:val="004D1AA0"/>
    <w:rsid w:val="004D405F"/>
    <w:rsid w:val="004E4BED"/>
    <w:rsid w:val="004E7058"/>
    <w:rsid w:val="004E7144"/>
    <w:rsid w:val="004E7D03"/>
    <w:rsid w:val="004F61E3"/>
    <w:rsid w:val="004F755B"/>
    <w:rsid w:val="00500EA4"/>
    <w:rsid w:val="0050214C"/>
    <w:rsid w:val="005040B6"/>
    <w:rsid w:val="0051015C"/>
    <w:rsid w:val="005127C9"/>
    <w:rsid w:val="00514C4E"/>
    <w:rsid w:val="00521F41"/>
    <w:rsid w:val="005225AD"/>
    <w:rsid w:val="00522F1F"/>
    <w:rsid w:val="00523058"/>
    <w:rsid w:val="00531AE9"/>
    <w:rsid w:val="005350F1"/>
    <w:rsid w:val="005356DB"/>
    <w:rsid w:val="005358D5"/>
    <w:rsid w:val="005443AE"/>
    <w:rsid w:val="0054602A"/>
    <w:rsid w:val="00547F73"/>
    <w:rsid w:val="00551EBF"/>
    <w:rsid w:val="00563CD5"/>
    <w:rsid w:val="0056698C"/>
    <w:rsid w:val="005670E3"/>
    <w:rsid w:val="00567EC7"/>
    <w:rsid w:val="00570013"/>
    <w:rsid w:val="0057407A"/>
    <w:rsid w:val="0059794E"/>
    <w:rsid w:val="005A22BD"/>
    <w:rsid w:val="005A33A1"/>
    <w:rsid w:val="005B450F"/>
    <w:rsid w:val="005C1DDE"/>
    <w:rsid w:val="005C2F8D"/>
    <w:rsid w:val="005C385F"/>
    <w:rsid w:val="005C575E"/>
    <w:rsid w:val="005C5CA4"/>
    <w:rsid w:val="005D4C50"/>
    <w:rsid w:val="005D63DD"/>
    <w:rsid w:val="005F460A"/>
    <w:rsid w:val="005F6F1B"/>
    <w:rsid w:val="005F78D4"/>
    <w:rsid w:val="006033E1"/>
    <w:rsid w:val="006043CF"/>
    <w:rsid w:val="00605CE5"/>
    <w:rsid w:val="00613009"/>
    <w:rsid w:val="006139B0"/>
    <w:rsid w:val="00624B33"/>
    <w:rsid w:val="00627BFF"/>
    <w:rsid w:val="00627F79"/>
    <w:rsid w:val="00636ED4"/>
    <w:rsid w:val="00640DF1"/>
    <w:rsid w:val="00646707"/>
    <w:rsid w:val="00647EE3"/>
    <w:rsid w:val="0065065C"/>
    <w:rsid w:val="0066287E"/>
    <w:rsid w:val="00662D4C"/>
    <w:rsid w:val="00664DCF"/>
    <w:rsid w:val="00672BCE"/>
    <w:rsid w:val="0067596A"/>
    <w:rsid w:val="00675D29"/>
    <w:rsid w:val="00680585"/>
    <w:rsid w:val="00685B10"/>
    <w:rsid w:val="00694D8B"/>
    <w:rsid w:val="006969EB"/>
    <w:rsid w:val="006A4735"/>
    <w:rsid w:val="006B0593"/>
    <w:rsid w:val="006C4DF0"/>
    <w:rsid w:val="006C5D39"/>
    <w:rsid w:val="006D52BB"/>
    <w:rsid w:val="006E2810"/>
    <w:rsid w:val="006E5417"/>
    <w:rsid w:val="006E6536"/>
    <w:rsid w:val="006E7A7F"/>
    <w:rsid w:val="006E7D22"/>
    <w:rsid w:val="006F4649"/>
    <w:rsid w:val="007011B7"/>
    <w:rsid w:val="00705008"/>
    <w:rsid w:val="00707345"/>
    <w:rsid w:val="007078FB"/>
    <w:rsid w:val="007101D8"/>
    <w:rsid w:val="007115F3"/>
    <w:rsid w:val="00712F60"/>
    <w:rsid w:val="007151EF"/>
    <w:rsid w:val="00720E3B"/>
    <w:rsid w:val="007272D1"/>
    <w:rsid w:val="00727366"/>
    <w:rsid w:val="00745F6B"/>
    <w:rsid w:val="00746CA4"/>
    <w:rsid w:val="0075057A"/>
    <w:rsid w:val="0075342A"/>
    <w:rsid w:val="00753AA8"/>
    <w:rsid w:val="0075417D"/>
    <w:rsid w:val="0075585E"/>
    <w:rsid w:val="00760048"/>
    <w:rsid w:val="00760697"/>
    <w:rsid w:val="0077435F"/>
    <w:rsid w:val="00775AF3"/>
    <w:rsid w:val="00775E0A"/>
    <w:rsid w:val="007768FF"/>
    <w:rsid w:val="00776D63"/>
    <w:rsid w:val="007818F7"/>
    <w:rsid w:val="007824D3"/>
    <w:rsid w:val="00783C1D"/>
    <w:rsid w:val="00786DEE"/>
    <w:rsid w:val="00787F74"/>
    <w:rsid w:val="00791C8F"/>
    <w:rsid w:val="00796EE3"/>
    <w:rsid w:val="007A0432"/>
    <w:rsid w:val="007A5866"/>
    <w:rsid w:val="007A7D29"/>
    <w:rsid w:val="007C21F5"/>
    <w:rsid w:val="007C69F4"/>
    <w:rsid w:val="007E2057"/>
    <w:rsid w:val="007F1F8B"/>
    <w:rsid w:val="008033F4"/>
    <w:rsid w:val="00806A5C"/>
    <w:rsid w:val="00810372"/>
    <w:rsid w:val="00820567"/>
    <w:rsid w:val="008206C8"/>
    <w:rsid w:val="00821713"/>
    <w:rsid w:val="0082192F"/>
    <w:rsid w:val="0082690D"/>
    <w:rsid w:val="0083208E"/>
    <w:rsid w:val="008325CF"/>
    <w:rsid w:val="00837F79"/>
    <w:rsid w:val="00845F2A"/>
    <w:rsid w:val="008516A4"/>
    <w:rsid w:val="0087367A"/>
    <w:rsid w:val="00874A6C"/>
    <w:rsid w:val="00876C65"/>
    <w:rsid w:val="0088191F"/>
    <w:rsid w:val="00890427"/>
    <w:rsid w:val="008A0F58"/>
    <w:rsid w:val="008A205F"/>
    <w:rsid w:val="008A4B4C"/>
    <w:rsid w:val="008B07FF"/>
    <w:rsid w:val="008B669E"/>
    <w:rsid w:val="008C239F"/>
    <w:rsid w:val="008D7602"/>
    <w:rsid w:val="008F1581"/>
    <w:rsid w:val="00906EEC"/>
    <w:rsid w:val="00907757"/>
    <w:rsid w:val="00910D77"/>
    <w:rsid w:val="009137DE"/>
    <w:rsid w:val="0091795A"/>
    <w:rsid w:val="009212B0"/>
    <w:rsid w:val="009228B8"/>
    <w:rsid w:val="009234A5"/>
    <w:rsid w:val="00931C7C"/>
    <w:rsid w:val="009336F7"/>
    <w:rsid w:val="009374A7"/>
    <w:rsid w:val="00942E95"/>
    <w:rsid w:val="00944272"/>
    <w:rsid w:val="0094470D"/>
    <w:rsid w:val="009537FB"/>
    <w:rsid w:val="00964177"/>
    <w:rsid w:val="009811FE"/>
    <w:rsid w:val="00991BF9"/>
    <w:rsid w:val="0099518F"/>
    <w:rsid w:val="009A523D"/>
    <w:rsid w:val="009B5205"/>
    <w:rsid w:val="009B6080"/>
    <w:rsid w:val="009D10EB"/>
    <w:rsid w:val="009E2527"/>
    <w:rsid w:val="009F0AAB"/>
    <w:rsid w:val="009F1260"/>
    <w:rsid w:val="009F1E60"/>
    <w:rsid w:val="009F20BE"/>
    <w:rsid w:val="009F496B"/>
    <w:rsid w:val="00A009C7"/>
    <w:rsid w:val="00A009D7"/>
    <w:rsid w:val="00A01439"/>
    <w:rsid w:val="00A01CE8"/>
    <w:rsid w:val="00A02E61"/>
    <w:rsid w:val="00A041D5"/>
    <w:rsid w:val="00A04B3A"/>
    <w:rsid w:val="00A05CFF"/>
    <w:rsid w:val="00A123D8"/>
    <w:rsid w:val="00A12EA7"/>
    <w:rsid w:val="00A201B1"/>
    <w:rsid w:val="00A20FE3"/>
    <w:rsid w:val="00A314F7"/>
    <w:rsid w:val="00A32159"/>
    <w:rsid w:val="00A5270E"/>
    <w:rsid w:val="00A53C23"/>
    <w:rsid w:val="00A53FD5"/>
    <w:rsid w:val="00A5520B"/>
    <w:rsid w:val="00A56B97"/>
    <w:rsid w:val="00A6093D"/>
    <w:rsid w:val="00A66C00"/>
    <w:rsid w:val="00A70C1C"/>
    <w:rsid w:val="00A76A6D"/>
    <w:rsid w:val="00A76DB9"/>
    <w:rsid w:val="00A77746"/>
    <w:rsid w:val="00A81F1E"/>
    <w:rsid w:val="00A83253"/>
    <w:rsid w:val="00A84A3D"/>
    <w:rsid w:val="00AA36D1"/>
    <w:rsid w:val="00AA3DAF"/>
    <w:rsid w:val="00AA68E8"/>
    <w:rsid w:val="00AA6E84"/>
    <w:rsid w:val="00AC574B"/>
    <w:rsid w:val="00AD28E5"/>
    <w:rsid w:val="00AE0478"/>
    <w:rsid w:val="00AE341B"/>
    <w:rsid w:val="00AE793E"/>
    <w:rsid w:val="00B0060F"/>
    <w:rsid w:val="00B00799"/>
    <w:rsid w:val="00B04F31"/>
    <w:rsid w:val="00B0733E"/>
    <w:rsid w:val="00B07CA7"/>
    <w:rsid w:val="00B122ED"/>
    <w:rsid w:val="00B1279A"/>
    <w:rsid w:val="00B16867"/>
    <w:rsid w:val="00B204CD"/>
    <w:rsid w:val="00B30081"/>
    <w:rsid w:val="00B30177"/>
    <w:rsid w:val="00B341FC"/>
    <w:rsid w:val="00B375E8"/>
    <w:rsid w:val="00B37B33"/>
    <w:rsid w:val="00B42AF1"/>
    <w:rsid w:val="00B45723"/>
    <w:rsid w:val="00B45CE4"/>
    <w:rsid w:val="00B51C2A"/>
    <w:rsid w:val="00B5222E"/>
    <w:rsid w:val="00B529E6"/>
    <w:rsid w:val="00B61C96"/>
    <w:rsid w:val="00B62374"/>
    <w:rsid w:val="00B651B6"/>
    <w:rsid w:val="00B726EF"/>
    <w:rsid w:val="00B75083"/>
    <w:rsid w:val="00B76DEA"/>
    <w:rsid w:val="00B916DD"/>
    <w:rsid w:val="00B94B06"/>
    <w:rsid w:val="00B94C28"/>
    <w:rsid w:val="00BB44E5"/>
    <w:rsid w:val="00BC10BA"/>
    <w:rsid w:val="00BC3314"/>
    <w:rsid w:val="00BC5AFD"/>
    <w:rsid w:val="00BC6E05"/>
    <w:rsid w:val="00BD0A6D"/>
    <w:rsid w:val="00BE0447"/>
    <w:rsid w:val="00BE0B83"/>
    <w:rsid w:val="00BE516A"/>
    <w:rsid w:val="00BE6E28"/>
    <w:rsid w:val="00BE7C22"/>
    <w:rsid w:val="00C0609D"/>
    <w:rsid w:val="00C0657A"/>
    <w:rsid w:val="00C0661B"/>
    <w:rsid w:val="00C115AB"/>
    <w:rsid w:val="00C11749"/>
    <w:rsid w:val="00C17A11"/>
    <w:rsid w:val="00C251C9"/>
    <w:rsid w:val="00C30249"/>
    <w:rsid w:val="00C35C8F"/>
    <w:rsid w:val="00C35E9A"/>
    <w:rsid w:val="00C37F6F"/>
    <w:rsid w:val="00C51EFC"/>
    <w:rsid w:val="00C538D5"/>
    <w:rsid w:val="00C53C08"/>
    <w:rsid w:val="00C606C9"/>
    <w:rsid w:val="00C63E25"/>
    <w:rsid w:val="00C65BC8"/>
    <w:rsid w:val="00C833E3"/>
    <w:rsid w:val="00C90650"/>
    <w:rsid w:val="00C97D78"/>
    <w:rsid w:val="00CA2023"/>
    <w:rsid w:val="00CA61BF"/>
    <w:rsid w:val="00CA6211"/>
    <w:rsid w:val="00CB0C14"/>
    <w:rsid w:val="00CB2A70"/>
    <w:rsid w:val="00CB4335"/>
    <w:rsid w:val="00CB76C3"/>
    <w:rsid w:val="00CC48CA"/>
    <w:rsid w:val="00CC5A42"/>
    <w:rsid w:val="00CC7F7F"/>
    <w:rsid w:val="00CD0EAB"/>
    <w:rsid w:val="00CE137F"/>
    <w:rsid w:val="00CF34DB"/>
    <w:rsid w:val="00CF558F"/>
    <w:rsid w:val="00D04236"/>
    <w:rsid w:val="00D073E2"/>
    <w:rsid w:val="00D12C54"/>
    <w:rsid w:val="00D17340"/>
    <w:rsid w:val="00D178C9"/>
    <w:rsid w:val="00D446EC"/>
    <w:rsid w:val="00D51BF0"/>
    <w:rsid w:val="00D55942"/>
    <w:rsid w:val="00D565C2"/>
    <w:rsid w:val="00D807BF"/>
    <w:rsid w:val="00D952BF"/>
    <w:rsid w:val="00DA7887"/>
    <w:rsid w:val="00DB2C26"/>
    <w:rsid w:val="00DB47D1"/>
    <w:rsid w:val="00DB6431"/>
    <w:rsid w:val="00DC034B"/>
    <w:rsid w:val="00DC3627"/>
    <w:rsid w:val="00DC79CF"/>
    <w:rsid w:val="00DD0F9E"/>
    <w:rsid w:val="00DD5D34"/>
    <w:rsid w:val="00DD5EE6"/>
    <w:rsid w:val="00DE2C11"/>
    <w:rsid w:val="00DE3E66"/>
    <w:rsid w:val="00DE4044"/>
    <w:rsid w:val="00DE62E4"/>
    <w:rsid w:val="00DE6B43"/>
    <w:rsid w:val="00DF0882"/>
    <w:rsid w:val="00DF3D7E"/>
    <w:rsid w:val="00E02413"/>
    <w:rsid w:val="00E05277"/>
    <w:rsid w:val="00E1283F"/>
    <w:rsid w:val="00E155D8"/>
    <w:rsid w:val="00E215EE"/>
    <w:rsid w:val="00E232E9"/>
    <w:rsid w:val="00E262D4"/>
    <w:rsid w:val="00E36250"/>
    <w:rsid w:val="00E3658D"/>
    <w:rsid w:val="00E45DB3"/>
    <w:rsid w:val="00E54511"/>
    <w:rsid w:val="00E61DAC"/>
    <w:rsid w:val="00E62E68"/>
    <w:rsid w:val="00E71B86"/>
    <w:rsid w:val="00E75FE3"/>
    <w:rsid w:val="00E76DC8"/>
    <w:rsid w:val="00E82BF3"/>
    <w:rsid w:val="00E837E8"/>
    <w:rsid w:val="00E90220"/>
    <w:rsid w:val="00E958B3"/>
    <w:rsid w:val="00EB07B0"/>
    <w:rsid w:val="00EB7AB1"/>
    <w:rsid w:val="00EC3887"/>
    <w:rsid w:val="00EE4E37"/>
    <w:rsid w:val="00EF48CC"/>
    <w:rsid w:val="00EF4D3C"/>
    <w:rsid w:val="00F0024E"/>
    <w:rsid w:val="00F133E1"/>
    <w:rsid w:val="00F1398C"/>
    <w:rsid w:val="00F21AE3"/>
    <w:rsid w:val="00F41892"/>
    <w:rsid w:val="00F4352F"/>
    <w:rsid w:val="00F44686"/>
    <w:rsid w:val="00F52B4F"/>
    <w:rsid w:val="00F60AA0"/>
    <w:rsid w:val="00F662C6"/>
    <w:rsid w:val="00F700C8"/>
    <w:rsid w:val="00F70F2F"/>
    <w:rsid w:val="00F73032"/>
    <w:rsid w:val="00F773F9"/>
    <w:rsid w:val="00F81F66"/>
    <w:rsid w:val="00F848FC"/>
    <w:rsid w:val="00F86BDB"/>
    <w:rsid w:val="00F9282A"/>
    <w:rsid w:val="00F9386F"/>
    <w:rsid w:val="00F96BAD"/>
    <w:rsid w:val="00FA0135"/>
    <w:rsid w:val="00FA0A99"/>
    <w:rsid w:val="00FB0E84"/>
    <w:rsid w:val="00FB5326"/>
    <w:rsid w:val="00FB7314"/>
    <w:rsid w:val="00FC1DFC"/>
    <w:rsid w:val="00FD01C2"/>
    <w:rsid w:val="00FD2062"/>
    <w:rsid w:val="00FD2DE9"/>
    <w:rsid w:val="00FD4826"/>
    <w:rsid w:val="00FD5929"/>
    <w:rsid w:val="00FE21D6"/>
    <w:rsid w:val="00FE2710"/>
    <w:rsid w:val="00FE3366"/>
    <w:rsid w:val="00FE47D3"/>
    <w:rsid w:val="00FE5A2E"/>
    <w:rsid w:val="00FF0CE3"/>
    <w:rsid w:val="00FF1B05"/>
    <w:rsid w:val="00FF4A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1,Heading U,H1,H11,Œ©o‚µ 1,?co??E 1,뙥,?c,?co?ƒÊ 1,?,Œ"/>
    <w:basedOn w:val="Normal"/>
    <w:next w:val="Normal"/>
    <w:qFormat/>
    <w:rsid w:val="000E00F3"/>
    <w:pPr>
      <w:keepNext/>
      <w:numPr>
        <w:numId w:val="6"/>
      </w:numPr>
      <w:spacing w:before="240" w:after="60"/>
      <w:outlineLvl w:val="0"/>
    </w:pPr>
    <w:rPr>
      <w:rFonts w:ascii="Times New Roman Bold" w:hAnsi="Times New Roman Bold" w:cs="Arial"/>
      <w:b/>
      <w:bCs/>
      <w:kern w:val="32"/>
      <w:sz w:val="32"/>
      <w:szCs w:val="32"/>
    </w:rPr>
  </w:style>
  <w:style w:type="paragraph" w:styleId="Heading2">
    <w:name w:val="heading 2"/>
    <w:basedOn w:val="Normal"/>
    <w:next w:val="Normal"/>
    <w:link w:val="Heading2Char"/>
    <w:qFormat/>
    <w:rsid w:val="000E00F3"/>
    <w:pPr>
      <w:keepNext/>
      <w:numPr>
        <w:ilvl w:val="1"/>
        <w:numId w:val="6"/>
      </w:numPr>
      <w:tabs>
        <w:tab w:val="clear" w:pos="360"/>
      </w:tabs>
      <w:spacing w:before="240" w:after="60"/>
      <w:ind w:left="720" w:hanging="720"/>
      <w:outlineLvl w:val="1"/>
    </w:pPr>
    <w:rPr>
      <w:rFonts w:ascii="Times New Roman Bold" w:hAnsi="Times New Roman Bold"/>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537FB"/>
    <w:pPr>
      <w:tabs>
        <w:tab w:val="center" w:pos="4320"/>
        <w:tab w:val="right" w:pos="8640"/>
      </w:tabs>
    </w:pPr>
  </w:style>
  <w:style w:type="paragraph" w:styleId="Footer">
    <w:name w:val="footer"/>
    <w:basedOn w:val="Normal"/>
    <w:link w:val="FooterChar"/>
    <w:uiPriority w:val="99"/>
    <w:rsid w:val="009537FB"/>
    <w:pPr>
      <w:tabs>
        <w:tab w:val="center" w:pos="4320"/>
        <w:tab w:val="right" w:pos="8640"/>
      </w:tabs>
    </w:pPr>
  </w:style>
  <w:style w:type="character" w:styleId="PageNumber">
    <w:name w:val="page number"/>
    <w:basedOn w:val="DefaultParagraphFont"/>
    <w:rsid w:val="009537FB"/>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0E00F3"/>
    <w:rPr>
      <w:rFonts w:ascii="Times New Roman Bold" w:hAnsi="Times New Roman Bold"/>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aliases w:val="Heading 4 Char1 Char,Heading 4 Char Char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cs="Times New Roman"/>
      <w:szCs w:val="20"/>
    </w:rPr>
  </w:style>
  <w:style w:type="table" w:styleId="TableGrid">
    <w:name w:val="Table Grid"/>
    <w:basedOn w:val="TableNormal"/>
    <w:rsid w:val="00B42AF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link w:val="CaptionChar"/>
    <w:qFormat/>
    <w:rsid w:val="00B37B33"/>
    <w:pPr>
      <w:tabs>
        <w:tab w:val="clear" w:pos="360"/>
        <w:tab w:val="clear" w:pos="720"/>
        <w:tab w:val="clear" w:pos="1080"/>
        <w:tab w:val="clear" w:pos="1440"/>
      </w:tabs>
      <w:overflowPunct/>
      <w:autoSpaceDE/>
      <w:autoSpaceDN/>
      <w:adjustRightInd/>
      <w:spacing w:before="0"/>
      <w:textAlignment w:val="auto"/>
    </w:pPr>
    <w:rPr>
      <w:b/>
      <w:bCs/>
      <w:sz w:val="20"/>
    </w:rPr>
  </w:style>
  <w:style w:type="character" w:customStyle="1" w:styleId="CaptionChar">
    <w:name w:val="Caption Char"/>
    <w:basedOn w:val="DefaultParagraphFont"/>
    <w:link w:val="Caption"/>
    <w:rsid w:val="00B37B33"/>
    <w:rPr>
      <w:rFonts w:eastAsia="SimSun"/>
      <w:b/>
      <w:bCs/>
      <w:lang w:val="en-US" w:eastAsia="en-US"/>
    </w:rPr>
  </w:style>
  <w:style w:type="character" w:styleId="CommentReference">
    <w:name w:val="annotation reference"/>
    <w:basedOn w:val="DefaultParagraphFont"/>
    <w:rsid w:val="00212B80"/>
    <w:rPr>
      <w:sz w:val="16"/>
      <w:szCs w:val="16"/>
    </w:rPr>
  </w:style>
  <w:style w:type="paragraph" w:styleId="CommentText">
    <w:name w:val="annotation text"/>
    <w:basedOn w:val="Normal"/>
    <w:link w:val="CommentTextChar"/>
    <w:rsid w:val="00212B80"/>
    <w:rPr>
      <w:sz w:val="20"/>
    </w:rPr>
  </w:style>
  <w:style w:type="character" w:customStyle="1" w:styleId="CommentTextChar">
    <w:name w:val="Comment Text Char"/>
    <w:basedOn w:val="DefaultParagraphFont"/>
    <w:link w:val="CommentText"/>
    <w:rsid w:val="00212B80"/>
    <w:rPr>
      <w:lang w:val="en-US" w:eastAsia="en-US"/>
    </w:rPr>
  </w:style>
  <w:style w:type="paragraph" w:styleId="CommentSubject">
    <w:name w:val="annotation subject"/>
    <w:basedOn w:val="CommentText"/>
    <w:next w:val="CommentText"/>
    <w:link w:val="CommentSubjectChar"/>
    <w:rsid w:val="00212B80"/>
    <w:rPr>
      <w:b/>
      <w:bCs/>
    </w:rPr>
  </w:style>
  <w:style w:type="character" w:customStyle="1" w:styleId="CommentSubjectChar">
    <w:name w:val="Comment Subject Char"/>
    <w:basedOn w:val="CommentTextChar"/>
    <w:link w:val="CommentSubject"/>
    <w:rsid w:val="00212B80"/>
    <w:rPr>
      <w:b/>
      <w:bCs/>
    </w:rPr>
  </w:style>
  <w:style w:type="paragraph" w:customStyle="1" w:styleId="Equation">
    <w:name w:val="Equation"/>
    <w:basedOn w:val="Normal"/>
    <w:rsid w:val="00B62374"/>
    <w:pPr>
      <w:tabs>
        <w:tab w:val="clear" w:pos="360"/>
        <w:tab w:val="clear" w:pos="720"/>
        <w:tab w:val="clear" w:pos="1080"/>
        <w:tab w:val="clear" w:pos="1440"/>
        <w:tab w:val="left" w:pos="794"/>
        <w:tab w:val="left" w:pos="1588"/>
        <w:tab w:val="center" w:pos="4849"/>
        <w:tab w:val="right" w:pos="9696"/>
      </w:tabs>
      <w:spacing w:before="193" w:after="240"/>
    </w:pPr>
    <w:rPr>
      <w:rFonts w:eastAsia="Times New Roman"/>
      <w:szCs w:val="22"/>
      <w:lang w:val="en-GB"/>
    </w:rPr>
  </w:style>
  <w:style w:type="character" w:styleId="PlaceholderText">
    <w:name w:val="Placeholder Text"/>
    <w:basedOn w:val="DefaultParagraphFont"/>
    <w:uiPriority w:val="99"/>
    <w:semiHidden/>
    <w:rsid w:val="00DD5D34"/>
    <w:rPr>
      <w:color w:val="808080"/>
    </w:rPr>
  </w:style>
  <w:style w:type="character" w:customStyle="1" w:styleId="FooterChar">
    <w:name w:val="Footer Char"/>
    <w:basedOn w:val="DefaultParagraphFont"/>
    <w:link w:val="Footer"/>
    <w:uiPriority w:val="99"/>
    <w:rsid w:val="00991BF9"/>
    <w:rPr>
      <w:sz w:val="22"/>
    </w:rPr>
  </w:style>
  <w:style w:type="paragraph" w:styleId="FootnoteText">
    <w:name w:val="footnote text"/>
    <w:basedOn w:val="Normal"/>
    <w:link w:val="FootnoteTextChar"/>
    <w:rsid w:val="00125810"/>
    <w:pPr>
      <w:spacing w:before="0"/>
    </w:pPr>
    <w:rPr>
      <w:sz w:val="20"/>
    </w:rPr>
  </w:style>
  <w:style w:type="character" w:customStyle="1" w:styleId="FootnoteTextChar">
    <w:name w:val="Footnote Text Char"/>
    <w:basedOn w:val="DefaultParagraphFont"/>
    <w:link w:val="FootnoteText"/>
    <w:rsid w:val="00125810"/>
  </w:style>
  <w:style w:type="character" w:styleId="FootnoteReference">
    <w:name w:val="footnote reference"/>
    <w:basedOn w:val="DefaultParagraphFont"/>
    <w:rsid w:val="00125810"/>
    <w:rPr>
      <w:vertAlign w:val="superscript"/>
    </w:rPr>
  </w:style>
  <w:style w:type="paragraph" w:styleId="ListParagraph">
    <w:name w:val="List Paragraph"/>
    <w:basedOn w:val="Normal"/>
    <w:uiPriority w:val="34"/>
    <w:qFormat/>
    <w:rsid w:val="005443AE"/>
    <w:pPr>
      <w:ind w:left="720"/>
      <w:contextualSpacing/>
    </w:pPr>
  </w:style>
  <w:style w:type="paragraph" w:customStyle="1" w:styleId="Note1">
    <w:name w:val="Note 1"/>
    <w:basedOn w:val="Normal"/>
    <w:rsid w:val="00E155D8"/>
    <w:pPr>
      <w:tabs>
        <w:tab w:val="clear" w:pos="360"/>
        <w:tab w:val="clear" w:pos="720"/>
        <w:tab w:val="clear" w:pos="1080"/>
        <w:tab w:val="clear" w:pos="1440"/>
      </w:tabs>
      <w:spacing w:before="60" w:line="199" w:lineRule="exact"/>
      <w:ind w:left="284"/>
      <w:jc w:val="both"/>
    </w:pPr>
    <w:rPr>
      <w:rFonts w:eastAsia="Times New Roman"/>
      <w:sz w:val="18"/>
      <w:szCs w:val="18"/>
      <w:lang w:val="en-GB"/>
    </w:rPr>
  </w:style>
  <w:style w:type="paragraph" w:customStyle="1" w:styleId="tableheading">
    <w:name w:val="table heading"/>
    <w:basedOn w:val="Normal"/>
    <w:rsid w:val="00E155D8"/>
    <w:pPr>
      <w:keepNext/>
      <w:keepLines/>
      <w:tabs>
        <w:tab w:val="clear" w:pos="360"/>
        <w:tab w:val="clear" w:pos="720"/>
        <w:tab w:val="clear" w:pos="1080"/>
        <w:tab w:val="clear" w:pos="1440"/>
      </w:tabs>
      <w:spacing w:before="0" w:after="60"/>
      <w:jc w:val="both"/>
    </w:pPr>
    <w:rPr>
      <w:rFonts w:eastAsia="Times New Roman"/>
      <w:b/>
      <w:bCs/>
      <w:sz w:val="20"/>
      <w:lang w:val="en-GB"/>
    </w:rPr>
  </w:style>
  <w:style w:type="paragraph" w:customStyle="1" w:styleId="tablecell">
    <w:name w:val="table cell"/>
    <w:basedOn w:val="Normal"/>
    <w:rsid w:val="00E155D8"/>
    <w:pPr>
      <w:keepNext/>
      <w:keepLines/>
      <w:tabs>
        <w:tab w:val="clear" w:pos="360"/>
        <w:tab w:val="clear" w:pos="720"/>
        <w:tab w:val="clear" w:pos="1080"/>
        <w:tab w:val="clear" w:pos="1440"/>
      </w:tabs>
      <w:spacing w:before="0" w:after="60"/>
      <w:jc w:val="both"/>
    </w:pPr>
    <w:rPr>
      <w:rFonts w:eastAsia="Times New Roman"/>
      <w:sz w:val="20"/>
      <w:lang w:val="en-GB"/>
    </w:rPr>
  </w:style>
  <w:style w:type="paragraph" w:customStyle="1" w:styleId="tablesyntax">
    <w:name w:val="table syntax"/>
    <w:basedOn w:val="Normal"/>
    <w:rsid w:val="00E155D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Times New Roman"/>
      <w:sz w:val="20"/>
      <w:lang w:val="en-GB"/>
    </w:rPr>
  </w:style>
</w:styles>
</file>

<file path=word/webSettings.xml><?xml version="1.0" encoding="utf-8"?>
<w:webSettings xmlns:r="http://schemas.openxmlformats.org/officeDocument/2006/relationships" xmlns:w="http://schemas.openxmlformats.org/wordprocessingml/2006/main">
  <w:divs>
    <w:div w:id="229776808">
      <w:bodyDiv w:val="1"/>
      <w:marLeft w:val="0"/>
      <w:marRight w:val="0"/>
      <w:marTop w:val="0"/>
      <w:marBottom w:val="0"/>
      <w:divBdr>
        <w:top w:val="none" w:sz="0" w:space="0" w:color="auto"/>
        <w:left w:val="none" w:sz="0" w:space="0" w:color="auto"/>
        <w:bottom w:val="none" w:sz="0" w:space="0" w:color="auto"/>
        <w:right w:val="none" w:sz="0" w:space="0" w:color="auto"/>
      </w:divBdr>
    </w:div>
    <w:div w:id="358118679">
      <w:bodyDiv w:val="1"/>
      <w:marLeft w:val="0"/>
      <w:marRight w:val="0"/>
      <w:marTop w:val="0"/>
      <w:marBottom w:val="0"/>
      <w:divBdr>
        <w:top w:val="none" w:sz="0" w:space="0" w:color="auto"/>
        <w:left w:val="none" w:sz="0" w:space="0" w:color="auto"/>
        <w:bottom w:val="none" w:sz="0" w:space="0" w:color="auto"/>
        <w:right w:val="none" w:sz="0" w:space="0" w:color="auto"/>
      </w:divBdr>
    </w:div>
    <w:div w:id="487669085">
      <w:bodyDiv w:val="1"/>
      <w:marLeft w:val="0"/>
      <w:marRight w:val="0"/>
      <w:marTop w:val="0"/>
      <w:marBottom w:val="0"/>
      <w:divBdr>
        <w:top w:val="none" w:sz="0" w:space="0" w:color="auto"/>
        <w:left w:val="none" w:sz="0" w:space="0" w:color="auto"/>
        <w:bottom w:val="none" w:sz="0" w:space="0" w:color="auto"/>
        <w:right w:val="none" w:sz="0" w:space="0" w:color="auto"/>
      </w:divBdr>
    </w:div>
    <w:div w:id="600647384">
      <w:bodyDiv w:val="1"/>
      <w:marLeft w:val="0"/>
      <w:marRight w:val="0"/>
      <w:marTop w:val="0"/>
      <w:marBottom w:val="0"/>
      <w:divBdr>
        <w:top w:val="none" w:sz="0" w:space="0" w:color="auto"/>
        <w:left w:val="none" w:sz="0" w:space="0" w:color="auto"/>
        <w:bottom w:val="none" w:sz="0" w:space="0" w:color="auto"/>
        <w:right w:val="none" w:sz="0" w:space="0" w:color="auto"/>
      </w:divBdr>
    </w:div>
    <w:div w:id="1321888863">
      <w:bodyDiv w:val="1"/>
      <w:marLeft w:val="0"/>
      <w:marRight w:val="0"/>
      <w:marTop w:val="0"/>
      <w:marBottom w:val="0"/>
      <w:divBdr>
        <w:top w:val="none" w:sz="0" w:space="0" w:color="auto"/>
        <w:left w:val="none" w:sz="0" w:space="0" w:color="auto"/>
        <w:bottom w:val="none" w:sz="0" w:space="0" w:color="auto"/>
        <w:right w:val="none" w:sz="0" w:space="0" w:color="auto"/>
      </w:divBdr>
    </w:div>
    <w:div w:id="1663847981">
      <w:bodyDiv w:val="1"/>
      <w:marLeft w:val="0"/>
      <w:marRight w:val="0"/>
      <w:marTop w:val="0"/>
      <w:marBottom w:val="0"/>
      <w:divBdr>
        <w:top w:val="none" w:sz="0" w:space="0" w:color="auto"/>
        <w:left w:val="none" w:sz="0" w:space="0" w:color="auto"/>
        <w:bottom w:val="none" w:sz="0" w:space="0" w:color="auto"/>
        <w:right w:val="none" w:sz="0" w:space="0" w:color="auto"/>
      </w:divBdr>
    </w:div>
    <w:div w:id="1906067993">
      <w:bodyDiv w:val="1"/>
      <w:marLeft w:val="0"/>
      <w:marRight w:val="0"/>
      <w:marTop w:val="0"/>
      <w:marBottom w:val="0"/>
      <w:divBdr>
        <w:top w:val="none" w:sz="0" w:space="0" w:color="auto"/>
        <w:left w:val="none" w:sz="0" w:space="0" w:color="auto"/>
        <w:bottom w:val="none" w:sz="0" w:space="0" w:color="auto"/>
        <w:right w:val="none" w:sz="0" w:space="0" w:color="auto"/>
      </w:divBdr>
      <w:divsChild>
        <w:div w:id="1977684346">
          <w:marLeft w:val="0"/>
          <w:marRight w:val="0"/>
          <w:marTop w:val="0"/>
          <w:marBottom w:val="0"/>
          <w:divBdr>
            <w:top w:val="none" w:sz="0" w:space="0" w:color="auto"/>
            <w:left w:val="none" w:sz="0" w:space="0" w:color="auto"/>
            <w:bottom w:val="none" w:sz="0" w:space="0" w:color="auto"/>
            <w:right w:val="none" w:sz="0" w:space="0" w:color="auto"/>
          </w:divBdr>
          <w:divsChild>
            <w:div w:id="974219251">
              <w:marLeft w:val="0"/>
              <w:marRight w:val="0"/>
              <w:marTop w:val="0"/>
              <w:marBottom w:val="0"/>
              <w:divBdr>
                <w:top w:val="none" w:sz="0" w:space="0" w:color="auto"/>
                <w:left w:val="none" w:sz="0" w:space="0" w:color="auto"/>
                <w:bottom w:val="dotted" w:sz="6" w:space="0" w:color="FEA957"/>
                <w:right w:val="none" w:sz="0" w:space="0" w:color="auto"/>
              </w:divBdr>
              <w:divsChild>
                <w:div w:id="287510894">
                  <w:marLeft w:val="0"/>
                  <w:marRight w:val="0"/>
                  <w:marTop w:val="0"/>
                  <w:marBottom w:val="0"/>
                  <w:divBdr>
                    <w:top w:val="none" w:sz="0" w:space="0" w:color="auto"/>
                    <w:left w:val="none" w:sz="0" w:space="0" w:color="auto"/>
                    <w:bottom w:val="none" w:sz="0" w:space="0" w:color="auto"/>
                    <w:right w:val="none" w:sz="0" w:space="0" w:color="auto"/>
                  </w:divBdr>
                  <w:divsChild>
                    <w:div w:id="872769123">
                      <w:marLeft w:val="3375"/>
                      <w:marRight w:val="0"/>
                      <w:marTop w:val="0"/>
                      <w:marBottom w:val="0"/>
                      <w:divBdr>
                        <w:top w:val="none" w:sz="0" w:space="0" w:color="auto"/>
                        <w:left w:val="none" w:sz="0" w:space="0" w:color="auto"/>
                        <w:bottom w:val="none" w:sz="0" w:space="0" w:color="auto"/>
                        <w:right w:val="none" w:sz="0" w:space="0" w:color="auto"/>
                      </w:divBdr>
                      <w:divsChild>
                        <w:div w:id="531116877">
                          <w:marLeft w:val="0"/>
                          <w:marRight w:val="0"/>
                          <w:marTop w:val="0"/>
                          <w:marBottom w:val="0"/>
                          <w:divBdr>
                            <w:top w:val="none" w:sz="0" w:space="0" w:color="auto"/>
                            <w:left w:val="none" w:sz="0" w:space="0" w:color="auto"/>
                            <w:bottom w:val="none" w:sz="0" w:space="0" w:color="auto"/>
                            <w:right w:val="none" w:sz="0" w:space="0" w:color="auto"/>
                          </w:divBdr>
                          <w:divsChild>
                            <w:div w:id="189689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mailto:liweig@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BE585-75F0-472B-BC6F-4821F7E8D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931</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6232</CharactersWithSpaces>
  <SharedDoc>false</SharedDoc>
  <HLinks>
    <vt:vector size="6" baseType="variant">
      <vt:variant>
        <vt:i4>4063307</vt:i4>
      </vt:variant>
      <vt:variant>
        <vt:i4>0</vt:i4>
      </vt:variant>
      <vt:variant>
        <vt:i4>0</vt:i4>
      </vt:variant>
      <vt:variant>
        <vt:i4>5</vt:i4>
      </vt:variant>
      <vt:variant>
        <vt:lpwstr>mailto:philippe.bordes@technicolor.com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Qualcomm User</cp:lastModifiedBy>
  <cp:revision>22</cp:revision>
  <cp:lastPrinted>2011-03-04T16:57:00Z</cp:lastPrinted>
  <dcterms:created xsi:type="dcterms:W3CDTF">2011-03-07T23:18:00Z</dcterms:created>
  <dcterms:modified xsi:type="dcterms:W3CDTF">2011-03-11T03:21:00Z</dcterms:modified>
</cp:coreProperties>
</file>