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3F45D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C727F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727F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630AA2" w:rsidP="00630AA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4th</w:t>
            </w:r>
            <w:r w:rsidR="00E61DAC" w:rsidRPr="00AE341B">
              <w:rPr>
                <w:szCs w:val="22"/>
              </w:rPr>
              <w:t xml:space="preserve"> Meeting: </w:t>
            </w:r>
            <w:proofErr w:type="spellStart"/>
            <w:r>
              <w:rPr>
                <w:szCs w:val="22"/>
              </w:rPr>
              <w:t>Daegu</w:t>
            </w:r>
            <w:proofErr w:type="spellEnd"/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KR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20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28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January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630AA2">
              <w:t>D</w:t>
            </w:r>
            <w:r w:rsidR="00977018">
              <w:rPr>
                <w:u w:val="single"/>
              </w:rPr>
              <w:t>391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606" w:type="dxa"/>
        <w:tblLayout w:type="fixed"/>
        <w:tblLook w:val="0000"/>
      </w:tblPr>
      <w:tblGrid>
        <w:gridCol w:w="1458"/>
        <w:gridCol w:w="4050"/>
        <w:gridCol w:w="3814"/>
        <w:gridCol w:w="284"/>
      </w:tblGrid>
      <w:tr w:rsidR="00A528EF" w:rsidRPr="00AE341B" w:rsidTr="00AE6140">
        <w:tc>
          <w:tcPr>
            <w:tcW w:w="1458" w:type="dxa"/>
          </w:tcPr>
          <w:p w:rsidR="00A528EF" w:rsidRPr="00AE341B" w:rsidRDefault="00A528EF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48" w:type="dxa"/>
            <w:gridSpan w:val="3"/>
          </w:tcPr>
          <w:p w:rsidR="00A528EF" w:rsidRPr="00AE341B" w:rsidRDefault="008E7371" w:rsidP="008E737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  <w:r w:rsidR="00351F46">
              <w:rPr>
                <w:b/>
                <w:szCs w:val="22"/>
              </w:rPr>
              <w:t xml:space="preserve">mprovement </w:t>
            </w:r>
            <w:r w:rsidR="00351F46" w:rsidRPr="00351F46">
              <w:rPr>
                <w:b/>
                <w:szCs w:val="22"/>
              </w:rPr>
              <w:t xml:space="preserve">of </w:t>
            </w:r>
            <w:r>
              <w:rPr>
                <w:b/>
                <w:szCs w:val="22"/>
              </w:rPr>
              <w:t>Adaptive I</w:t>
            </w:r>
            <w:r w:rsidR="00351F46" w:rsidRPr="00351F46">
              <w:rPr>
                <w:b/>
                <w:szCs w:val="22"/>
              </w:rPr>
              <w:t xml:space="preserve">ntra </w:t>
            </w:r>
            <w:r>
              <w:rPr>
                <w:b/>
                <w:szCs w:val="22"/>
              </w:rPr>
              <w:t>S</w:t>
            </w:r>
            <w:r w:rsidR="00351F46" w:rsidRPr="00351F46">
              <w:rPr>
                <w:b/>
                <w:szCs w:val="22"/>
              </w:rPr>
              <w:t>moothing</w:t>
            </w:r>
            <w:r>
              <w:rPr>
                <w:b/>
                <w:szCs w:val="22"/>
              </w:rPr>
              <w:t xml:space="preserve"> by switching interpolation filters</w:t>
            </w:r>
          </w:p>
        </w:tc>
      </w:tr>
      <w:tr w:rsidR="00A528EF" w:rsidRPr="00AE341B" w:rsidTr="00AE6140">
        <w:tc>
          <w:tcPr>
            <w:tcW w:w="1458" w:type="dxa"/>
          </w:tcPr>
          <w:p w:rsidR="00A528EF" w:rsidRPr="00AE341B" w:rsidRDefault="00A528EF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48" w:type="dxa"/>
            <w:gridSpan w:val="3"/>
          </w:tcPr>
          <w:p w:rsidR="00A528EF" w:rsidRPr="00AE341B" w:rsidRDefault="00A528EF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A528EF" w:rsidRPr="00AE341B" w:rsidTr="00AE6140">
        <w:tc>
          <w:tcPr>
            <w:tcW w:w="1458" w:type="dxa"/>
          </w:tcPr>
          <w:p w:rsidR="00A528EF" w:rsidRPr="00AE341B" w:rsidRDefault="00A528EF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48" w:type="dxa"/>
            <w:gridSpan w:val="3"/>
          </w:tcPr>
          <w:p w:rsidR="00A528EF" w:rsidRPr="00AE341B" w:rsidRDefault="001807A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8E7371">
              <w:rPr>
                <w:szCs w:val="22"/>
              </w:rPr>
              <w:t>roposal</w:t>
            </w:r>
          </w:p>
        </w:tc>
      </w:tr>
      <w:tr w:rsidR="00A528EF" w:rsidRPr="00AE341B" w:rsidTr="00AE6140">
        <w:tc>
          <w:tcPr>
            <w:tcW w:w="1458" w:type="dxa"/>
          </w:tcPr>
          <w:p w:rsidR="00A528EF" w:rsidRPr="00AE341B" w:rsidRDefault="00A528EF" w:rsidP="00A8682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58631B" w:rsidRPr="009A6965" w:rsidRDefault="00A528EF" w:rsidP="0058631B">
            <w:pPr>
              <w:rPr>
                <w:lang w:eastAsia="ja-JP"/>
              </w:rPr>
            </w:pPr>
            <w:r>
              <w:rPr>
                <w:szCs w:val="22"/>
              </w:rPr>
              <w:t>E. Maani</w:t>
            </w:r>
            <w:r w:rsidR="008E7371">
              <w:rPr>
                <w:szCs w:val="22"/>
              </w:rPr>
              <w:t>, Ali. Tabatabai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1730 N 1st Street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San Jose, CA 95112</w:t>
            </w:r>
          </w:p>
          <w:p w:rsidR="00A528EF" w:rsidRPr="009A6965" w:rsidRDefault="00A528EF" w:rsidP="009A6965">
            <w:pPr>
              <w:spacing w:before="60" w:after="60"/>
              <w:rPr>
                <w:lang w:eastAsia="ja-JP"/>
              </w:rPr>
            </w:pPr>
          </w:p>
        </w:tc>
        <w:tc>
          <w:tcPr>
            <w:tcW w:w="3814" w:type="dxa"/>
          </w:tcPr>
          <w:p w:rsidR="009A212B" w:rsidRDefault="00A528EF" w:rsidP="0058631B">
            <w:pPr>
              <w:spacing w:before="60" w:after="60"/>
              <w:rPr>
                <w:szCs w:val="22"/>
                <w:lang w:eastAsia="ja-JP"/>
              </w:rPr>
            </w:pPr>
            <w:r w:rsidRPr="00AE341B">
              <w:rPr>
                <w:szCs w:val="22"/>
              </w:rPr>
              <w:br/>
              <w:t>Tel:</w:t>
            </w:r>
            <w:r>
              <w:rPr>
                <w:szCs w:val="22"/>
              </w:rPr>
              <w:t>(408) 352-4710</w:t>
            </w:r>
            <w:r w:rsidRPr="00AE341B">
              <w:rPr>
                <w:szCs w:val="22"/>
              </w:rPr>
              <w:br/>
              <w:t>Email:</w:t>
            </w:r>
            <w:r>
              <w:rPr>
                <w:szCs w:val="22"/>
              </w:rPr>
              <w:t>ehsan.maani@am.sony.com</w:t>
            </w:r>
          </w:p>
        </w:tc>
        <w:tc>
          <w:tcPr>
            <w:tcW w:w="284" w:type="dxa"/>
          </w:tcPr>
          <w:p w:rsidR="00A528EF" w:rsidRPr="00AE341B" w:rsidRDefault="00A528EF" w:rsidP="00A86824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Pr="00AE341B">
              <w:rPr>
                <w:szCs w:val="22"/>
              </w:rPr>
              <w:br/>
            </w:r>
          </w:p>
        </w:tc>
      </w:tr>
      <w:tr w:rsidR="00A528EF" w:rsidRPr="00AE341B" w:rsidTr="00AE6140">
        <w:tc>
          <w:tcPr>
            <w:tcW w:w="1458" w:type="dxa"/>
          </w:tcPr>
          <w:p w:rsidR="00A528EF" w:rsidRPr="00AE341B" w:rsidRDefault="00A528EF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48" w:type="dxa"/>
            <w:gridSpan w:val="3"/>
          </w:tcPr>
          <w:p w:rsidR="00A528EF" w:rsidRPr="00AE341B" w:rsidRDefault="00977018" w:rsidP="0058631B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</w:rPr>
              <w:t>Sony Electronics Inc.</w:t>
            </w:r>
            <w:r w:rsidR="009A6965">
              <w:rPr>
                <w:rFonts w:hint="eastAsia"/>
                <w:szCs w:val="22"/>
                <w:lang w:eastAsia="ja-JP"/>
              </w:rPr>
              <w:t xml:space="preserve"> 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351F46" w:rsidRDefault="00351F46" w:rsidP="00351F46">
      <w:pPr>
        <w:jc w:val="both"/>
        <w:rPr>
          <w:lang w:eastAsia="ko-KR"/>
        </w:rPr>
      </w:pPr>
      <w:r>
        <w:rPr>
          <w:rFonts w:hint="eastAsia"/>
          <w:lang w:eastAsia="ko-KR"/>
        </w:rPr>
        <w:t>This document</w:t>
      </w:r>
      <w:r>
        <w:rPr>
          <w:lang w:eastAsia="ko-KR"/>
        </w:rPr>
        <w:t xml:space="preserve"> a method is described to improve the performance of Adaptive Intra Smoothing algorithms. In this method, a set of new 4-tap interpolation filters is proposed to be used in the Intra prediction process instead of the linear interpolation when Intra smoothing is set to off. </w:t>
      </w:r>
      <w:r w:rsidR="008E7371">
        <w:rPr>
          <w:lang w:eastAsia="ko-KR"/>
        </w:rPr>
        <w:t>The method in tested on hybrid Intra smoothing [1] and showed, on average,</w:t>
      </w:r>
      <w:r>
        <w:rPr>
          <w:lang w:eastAsia="ko-KR"/>
        </w:rPr>
        <w:t xml:space="preserve"> </w:t>
      </w:r>
      <w:r w:rsidR="008E7371">
        <w:rPr>
          <w:lang w:eastAsia="ko-KR"/>
        </w:rPr>
        <w:t xml:space="preserve">0.3% and </w:t>
      </w:r>
      <w:r>
        <w:rPr>
          <w:lang w:eastAsia="ko-KR"/>
        </w:rPr>
        <w:t>0.4%</w:t>
      </w:r>
      <w:r w:rsidR="008E7371">
        <w:rPr>
          <w:lang w:eastAsia="ko-KR"/>
        </w:rPr>
        <w:t xml:space="preserve"> improvements </w:t>
      </w:r>
      <w:r w:rsidR="000C48A2">
        <w:rPr>
          <w:lang w:eastAsia="ko-KR"/>
        </w:rPr>
        <w:t xml:space="preserve">over their results [2] </w:t>
      </w:r>
      <w:r w:rsidR="008E7371">
        <w:rPr>
          <w:lang w:eastAsia="ko-KR"/>
        </w:rPr>
        <w:t>for HE and LC settings, respectively</w:t>
      </w:r>
      <w:r>
        <w:rPr>
          <w:lang w:eastAsia="ko-KR"/>
        </w:rPr>
        <w:t xml:space="preserve">. </w:t>
      </w:r>
    </w:p>
    <w:p w:rsidR="00351F46" w:rsidRDefault="00351F46" w:rsidP="00351F46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ascii="Arial" w:hAnsi="Arial" w:cs="Arial"/>
          <w:sz w:val="20"/>
        </w:rPr>
      </w:pPr>
    </w:p>
    <w:p w:rsidR="00017655" w:rsidRDefault="00017655" w:rsidP="00351F46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ascii="Arial" w:hAnsi="Arial" w:cs="Arial"/>
          <w:sz w:val="20"/>
        </w:rPr>
      </w:pPr>
    </w:p>
    <w:p w:rsidR="00686FFC" w:rsidRDefault="000C48A2" w:rsidP="00017655">
      <w:pPr>
        <w:pStyle w:val="Heading1"/>
      </w:pPr>
      <w:r>
        <w:t>Algorithm description</w:t>
      </w:r>
    </w:p>
    <w:p w:rsidR="004E361E" w:rsidRDefault="001A39F9" w:rsidP="00A06F10">
      <w:pPr>
        <w:jc w:val="both"/>
      </w:pPr>
      <w:r>
        <w:t xml:space="preserve">Almost all existing </w:t>
      </w:r>
      <w:r w:rsidR="00A06F10">
        <w:t>AIS techniques</w:t>
      </w:r>
      <w:r>
        <w:t xml:space="preserve"> adaptively switch between a </w:t>
      </w:r>
      <w:r w:rsidR="001807AB">
        <w:t>numbers</w:t>
      </w:r>
      <w:r>
        <w:t xml:space="preserve"> of available low-pass filters</w:t>
      </w:r>
      <w:r w:rsidR="004E361E">
        <w:t xml:space="preserve"> [1, 2]</w:t>
      </w:r>
      <w:r>
        <w:t xml:space="preserve"> which are used to filter the full-</w:t>
      </w:r>
      <w:proofErr w:type="spellStart"/>
      <w:r>
        <w:t>pel</w:t>
      </w:r>
      <w:proofErr w:type="spellEnd"/>
      <w:r>
        <w:t xml:space="preserve"> locations of the reconstructed </w:t>
      </w:r>
      <w:r w:rsidR="00A06F10">
        <w:t>boundaries of the</w:t>
      </w:r>
      <w:r>
        <w:t xml:space="preserve"> block to be predicted. However, in this document we propose to also switch between interpolation filters for non-integer locations. Current TMuC software uses a linear interpolation for all non-integer locations regardless of the AIS flag. In our proposal</w:t>
      </w:r>
      <w:r w:rsidR="00A06F10">
        <w:t>,</w:t>
      </w:r>
      <w:r>
        <w:t xml:space="preserve"> when AIS flag is on, the same low-pass filters (as </w:t>
      </w:r>
      <w:r w:rsidR="00A06F10">
        <w:t xml:space="preserve">in </w:t>
      </w:r>
      <w:r w:rsidR="00A06F10" w:rsidRPr="00725B90">
        <w:rPr>
          <w:rFonts w:hint="eastAsia"/>
          <w:lang w:eastAsia="ko-KR"/>
        </w:rPr>
        <w:t>JCTVC-D</w:t>
      </w:r>
      <w:r w:rsidR="00A06F10">
        <w:rPr>
          <w:lang w:eastAsia="ko-KR"/>
        </w:rPr>
        <w:t>282</w:t>
      </w:r>
      <w:r>
        <w:t xml:space="preserve">) are used for </w:t>
      </w:r>
      <w:r w:rsidR="00A06F10">
        <w:t xml:space="preserve">the </w:t>
      </w:r>
      <w:r>
        <w:t>integer-</w:t>
      </w:r>
      <w:proofErr w:type="spellStart"/>
      <w:r>
        <w:t>pel</w:t>
      </w:r>
      <w:proofErr w:type="spellEnd"/>
      <w:r w:rsidR="00A06F10">
        <w:t>,</w:t>
      </w:r>
      <w:r>
        <w:t xml:space="preserve"> and the default linear interpolation is used for </w:t>
      </w:r>
      <w:r w:rsidR="00A06F10">
        <w:t xml:space="preserve">the </w:t>
      </w:r>
      <w:r>
        <w:t>non-integer locations. On the other hand, when AIS flag is off, the set of 4-tap filters</w:t>
      </w:r>
      <w:r w:rsidR="00977018">
        <w:t xml:space="preserve"> </w:t>
      </w:r>
      <w:r>
        <w:t>are used for fractional-</w:t>
      </w:r>
      <w:proofErr w:type="spellStart"/>
      <w:r>
        <w:t>pel</w:t>
      </w:r>
      <w:proofErr w:type="spellEnd"/>
      <w:r>
        <w:t xml:space="preserve"> locations. No filtering is applied to the full-</w:t>
      </w:r>
      <w:proofErr w:type="spellStart"/>
      <w:r>
        <w:t>pel</w:t>
      </w:r>
      <w:proofErr w:type="spellEnd"/>
      <w:r>
        <w:t xml:space="preserve"> locations as before.</w:t>
      </w:r>
      <w:r w:rsidR="004E361E">
        <w:t xml:space="preserve"> </w:t>
      </w:r>
    </w:p>
    <w:p w:rsidR="00017655" w:rsidRDefault="00A06F10" w:rsidP="00A06F10">
      <w:pPr>
        <w:jc w:val="both"/>
      </w:pPr>
      <w:r>
        <w:t>It should be also noted that, f</w:t>
      </w:r>
      <w:r w:rsidR="001A39F9">
        <w:t xml:space="preserve">or both cases of AIS on or off, one can design a set of 4-tap filters for all locations (full and fractional </w:t>
      </w:r>
      <w:proofErr w:type="spellStart"/>
      <w:r w:rsidR="001A39F9">
        <w:t>pel</w:t>
      </w:r>
      <w:proofErr w:type="spellEnd"/>
      <w:r w:rsidR="001A39F9">
        <w:t xml:space="preserve"> locations) and just </w:t>
      </w:r>
      <w:r w:rsidR="001807AB">
        <w:t>switch</w:t>
      </w:r>
      <w:r w:rsidR="001A39F9">
        <w:t xml:space="preserve"> between them according to the AIS flag such that the overall effect of the filters becomes equivalent to the method described above. In other words, for a more simplified implementation, instead of having two branches, one with a 3-tap filter for </w:t>
      </w:r>
      <w:r>
        <w:t xml:space="preserve">the </w:t>
      </w:r>
      <w:r w:rsidR="001A39F9">
        <w:t>full-</w:t>
      </w:r>
      <w:proofErr w:type="spellStart"/>
      <w:r w:rsidR="001A39F9">
        <w:t>pel</w:t>
      </w:r>
      <w:proofErr w:type="spellEnd"/>
      <w:r w:rsidR="001A39F9">
        <w:t xml:space="preserve"> locations and </w:t>
      </w:r>
      <w:r>
        <w:t xml:space="preserve">a </w:t>
      </w:r>
      <w:r w:rsidR="001A39F9">
        <w:t>linear interpolation and the other with no full-</w:t>
      </w:r>
      <w:proofErr w:type="spellStart"/>
      <w:r w:rsidR="001A39F9">
        <w:t>pel</w:t>
      </w:r>
      <w:proofErr w:type="spellEnd"/>
      <w:r w:rsidR="001A39F9">
        <w:t xml:space="preserve"> filtering and </w:t>
      </w:r>
      <w:r>
        <w:t xml:space="preserve">a set of </w:t>
      </w:r>
      <w:r w:rsidR="001A39F9">
        <w:t xml:space="preserve">4-tap interpolation filters, one can envisage a single branch with two (or </w:t>
      </w:r>
      <w:r w:rsidR="001807AB">
        <w:t>perhaps</w:t>
      </w:r>
      <w:r w:rsidR="001A39F9">
        <w:t xml:space="preserve"> more) sets of </w:t>
      </w:r>
      <w:r w:rsidR="001807AB">
        <w:t>switching</w:t>
      </w:r>
      <w:r w:rsidR="001A39F9">
        <w:t xml:space="preserve"> 4-tap filters with the same </w:t>
      </w:r>
      <w:r w:rsidR="001807AB">
        <w:t>performance</w:t>
      </w:r>
      <w:r w:rsidR="001A39F9">
        <w:t xml:space="preserve">. </w:t>
      </w:r>
    </w:p>
    <w:p w:rsidR="001A39F9" w:rsidRDefault="001A39F9" w:rsidP="00A06F10">
      <w:pPr>
        <w:jc w:val="both"/>
      </w:pPr>
      <w:r>
        <w:t>We implemented this technique in the hybrid AIS source code we received from Qualcomm. In addition to the switching between AIS filters (for full-</w:t>
      </w:r>
      <w:proofErr w:type="spellStart"/>
      <w:r>
        <w:t>pel</w:t>
      </w:r>
      <w:proofErr w:type="spellEnd"/>
      <w:r>
        <w:t xml:space="preserve"> locations) as described in </w:t>
      </w:r>
      <w:r w:rsidRPr="00725B90">
        <w:rPr>
          <w:rFonts w:hint="eastAsia"/>
          <w:lang w:eastAsia="ko-KR"/>
        </w:rPr>
        <w:t>JCTVC-D</w:t>
      </w:r>
      <w:r>
        <w:rPr>
          <w:lang w:eastAsia="ko-KR"/>
        </w:rPr>
        <w:t>282</w:t>
      </w:r>
      <w:r>
        <w:t>, we also allowed switching between interpolation methods as described above according to t</w:t>
      </w:r>
      <w:r w:rsidR="00A06F10">
        <w:t>he AIS flag for that block. Resu</w:t>
      </w:r>
      <w:r>
        <w:t xml:space="preserve">lts are shown in </w:t>
      </w:r>
      <w:fldSimple w:instr=" REF _Ref282860378 \h  \* MERGEFORMAT ">
        <w:r>
          <w:t xml:space="preserve">Table </w:t>
        </w:r>
        <w:r>
          <w:rPr>
            <w:noProof/>
          </w:rPr>
          <w:t>4</w:t>
        </w:r>
      </w:fldSimple>
      <w:r>
        <w:t xml:space="preserve"> and </w:t>
      </w:r>
      <w:fldSimple w:instr=" REF _Ref282860384 \h  \* MERGEFORMAT ">
        <w:r>
          <w:t xml:space="preserve">Table </w:t>
        </w:r>
        <w:r>
          <w:rPr>
            <w:noProof/>
          </w:rPr>
          <w:t>5</w:t>
        </w:r>
      </w:fldSimple>
      <w:r>
        <w:t xml:space="preserve"> for the cases of FIS and HIS, respectively. As it can be seen from the results, the average BD-rates of high efficiency (HE) and low complexity (LC) </w:t>
      </w:r>
      <w:r w:rsidR="001807AB">
        <w:t>settings</w:t>
      </w:r>
      <w:r>
        <w:t xml:space="preserve"> improved by 0.3% and 0.4% , respectively (for both FIS and HIS), </w:t>
      </w:r>
      <w:r w:rsidR="001807AB">
        <w:t>without</w:t>
      </w:r>
      <w:r>
        <w:t xml:space="preserve"> any significant increase in the encoding or decoding times. </w:t>
      </w:r>
    </w:p>
    <w:p w:rsidR="001A39F9" w:rsidRDefault="001A39F9" w:rsidP="00017655"/>
    <w:p w:rsidR="001A39F9" w:rsidRPr="004E361E" w:rsidRDefault="001A39F9" w:rsidP="001A39F9">
      <w:pPr>
        <w:pStyle w:val="Caption"/>
        <w:keepNext/>
        <w:rPr>
          <w:color w:val="365F91" w:themeColor="accent1" w:themeShade="BF"/>
        </w:rPr>
      </w:pPr>
    </w:p>
    <w:p w:rsidR="001A39F9" w:rsidRPr="00017655" w:rsidRDefault="001A39F9" w:rsidP="00017655"/>
    <w:p w:rsidR="00686FFC" w:rsidRDefault="00686FFC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Pr="004E361E" w:rsidRDefault="001A39F9" w:rsidP="001A39F9">
      <w:pPr>
        <w:pStyle w:val="Caption"/>
        <w:keepNext/>
        <w:rPr>
          <w:color w:val="365F91" w:themeColor="accent1" w:themeShade="BF"/>
        </w:rPr>
      </w:pPr>
      <w:bookmarkStart w:id="0" w:name="_Ref282860378"/>
      <w:r w:rsidRPr="004E361E">
        <w:rPr>
          <w:color w:val="365F91" w:themeColor="accent1" w:themeShade="BF"/>
        </w:rPr>
        <w:t xml:space="preserve">Table </w:t>
      </w:r>
      <w:bookmarkEnd w:id="0"/>
      <w:r w:rsidR="00977018">
        <w:rPr>
          <w:color w:val="365F91" w:themeColor="accent1" w:themeShade="BF"/>
        </w:rPr>
        <w:t>3</w:t>
      </w:r>
      <w:r w:rsidRPr="004E361E">
        <w:rPr>
          <w:color w:val="365F91" w:themeColor="accent1" w:themeShade="BF"/>
        </w:rPr>
        <w:t xml:space="preserve">. </w:t>
      </w:r>
      <w:proofErr w:type="gramStart"/>
      <w:r w:rsidRPr="004E361E">
        <w:rPr>
          <w:color w:val="365F91" w:themeColor="accent1" w:themeShade="BF"/>
        </w:rPr>
        <w:t>Results of FIS with switching interpolation method.</w:t>
      </w:r>
      <w:proofErr w:type="gramEnd"/>
    </w:p>
    <w:tbl>
      <w:tblPr>
        <w:tblStyle w:val="TableGrid"/>
        <w:tblW w:w="0" w:type="auto"/>
        <w:tblLook w:val="04A0"/>
      </w:tblPr>
      <w:tblGrid>
        <w:gridCol w:w="1699"/>
        <w:gridCol w:w="1282"/>
        <w:gridCol w:w="1282"/>
        <w:gridCol w:w="1282"/>
        <w:gridCol w:w="1282"/>
        <w:gridCol w:w="1282"/>
        <w:gridCol w:w="1282"/>
      </w:tblGrid>
      <w:tr w:rsidR="001A39F9" w:rsidRPr="001A39F9" w:rsidTr="001A39F9">
        <w:trPr>
          <w:trHeight w:hRule="exact" w:val="346"/>
        </w:trPr>
        <w:tc>
          <w:tcPr>
            <w:tcW w:w="1699" w:type="dxa"/>
            <w:vMerge w:val="restart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Intra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Intra LoCo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vMerge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103%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102%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101%</w:t>
            </w:r>
          </w:p>
        </w:tc>
      </w:tr>
    </w:tbl>
    <w:p w:rsidR="00686FFC" w:rsidRDefault="00686FFC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1A39F9" w:rsidRPr="004E361E" w:rsidRDefault="001A39F9" w:rsidP="001A39F9">
      <w:pPr>
        <w:pStyle w:val="Caption"/>
        <w:keepNext/>
        <w:rPr>
          <w:color w:val="365F91" w:themeColor="accent1" w:themeShade="BF"/>
        </w:rPr>
      </w:pPr>
      <w:bookmarkStart w:id="1" w:name="_Ref282860384"/>
      <w:proofErr w:type="gramStart"/>
      <w:r w:rsidRPr="004E361E">
        <w:rPr>
          <w:color w:val="365F91" w:themeColor="accent1" w:themeShade="BF"/>
        </w:rPr>
        <w:t xml:space="preserve">Table </w:t>
      </w:r>
      <w:r w:rsidR="003F45D6" w:rsidRPr="004E361E">
        <w:rPr>
          <w:color w:val="365F91" w:themeColor="accent1" w:themeShade="BF"/>
        </w:rPr>
        <w:fldChar w:fldCharType="begin"/>
      </w:r>
      <w:r w:rsidRPr="004E361E">
        <w:rPr>
          <w:color w:val="365F91" w:themeColor="accent1" w:themeShade="BF"/>
        </w:rPr>
        <w:instrText xml:space="preserve"> SEQ Table \* ARABIC </w:instrText>
      </w:r>
      <w:r w:rsidR="003F45D6" w:rsidRPr="004E361E">
        <w:rPr>
          <w:color w:val="365F91" w:themeColor="accent1" w:themeShade="BF"/>
        </w:rPr>
        <w:fldChar w:fldCharType="separate"/>
      </w:r>
      <w:r w:rsidRPr="004E361E">
        <w:rPr>
          <w:color w:val="365F91" w:themeColor="accent1" w:themeShade="BF"/>
        </w:rPr>
        <w:t>5</w:t>
      </w:r>
      <w:r w:rsidR="003F45D6" w:rsidRPr="004E361E">
        <w:rPr>
          <w:color w:val="365F91" w:themeColor="accent1" w:themeShade="BF"/>
        </w:rPr>
        <w:fldChar w:fldCharType="end"/>
      </w:r>
      <w:bookmarkEnd w:id="1"/>
      <w:r w:rsidRPr="004E361E">
        <w:rPr>
          <w:color w:val="365F91" w:themeColor="accent1" w:themeShade="BF"/>
        </w:rPr>
        <w:t>.</w:t>
      </w:r>
      <w:proofErr w:type="gramEnd"/>
      <w:r w:rsidRPr="004E361E">
        <w:rPr>
          <w:color w:val="365F91" w:themeColor="accent1" w:themeShade="BF"/>
        </w:rPr>
        <w:t xml:space="preserve"> </w:t>
      </w:r>
      <w:proofErr w:type="gramStart"/>
      <w:r w:rsidRPr="004E361E">
        <w:rPr>
          <w:color w:val="365F91" w:themeColor="accent1" w:themeShade="BF"/>
        </w:rPr>
        <w:t>Results of HIS with switching interpolation method.</w:t>
      </w:r>
      <w:proofErr w:type="gramEnd"/>
    </w:p>
    <w:tbl>
      <w:tblPr>
        <w:tblStyle w:val="TableGrid"/>
        <w:tblW w:w="0" w:type="auto"/>
        <w:tblLook w:val="04A0"/>
      </w:tblPr>
      <w:tblGrid>
        <w:gridCol w:w="1699"/>
        <w:gridCol w:w="1282"/>
        <w:gridCol w:w="1282"/>
        <w:gridCol w:w="1282"/>
        <w:gridCol w:w="1282"/>
        <w:gridCol w:w="1282"/>
        <w:gridCol w:w="1282"/>
      </w:tblGrid>
      <w:tr w:rsidR="001A39F9" w:rsidRPr="001A39F9" w:rsidTr="001A39F9">
        <w:trPr>
          <w:trHeight w:hRule="exact" w:val="346"/>
        </w:trPr>
        <w:tc>
          <w:tcPr>
            <w:tcW w:w="1699" w:type="dxa"/>
            <w:vMerge w:val="restart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Intra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Intra LoCo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vMerge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-1.0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-0.6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-2.0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-1.0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282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 xml:space="preserve">-0.8 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104%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108%</w:t>
            </w:r>
          </w:p>
        </w:tc>
      </w:tr>
      <w:tr w:rsidR="001A39F9" w:rsidRPr="001A39F9" w:rsidTr="001A39F9">
        <w:trPr>
          <w:trHeight w:hRule="exact" w:val="346"/>
        </w:trPr>
        <w:tc>
          <w:tcPr>
            <w:tcW w:w="1699" w:type="dxa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101%</w:t>
            </w:r>
          </w:p>
        </w:tc>
        <w:tc>
          <w:tcPr>
            <w:tcW w:w="3846" w:type="dxa"/>
            <w:gridSpan w:val="3"/>
            <w:noWrap/>
            <w:hideMark/>
          </w:tcPr>
          <w:p w:rsidR="001A39F9" w:rsidRPr="001A39F9" w:rsidRDefault="001A39F9" w:rsidP="001A39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1A39F9">
              <w:rPr>
                <w:rFonts w:ascii="Arial" w:hAnsi="Arial" w:cs="Arial"/>
                <w:sz w:val="20"/>
              </w:rPr>
              <w:t>102%</w:t>
            </w:r>
          </w:p>
        </w:tc>
      </w:tr>
    </w:tbl>
    <w:p w:rsidR="001A39F9" w:rsidRDefault="001A39F9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686FFC" w:rsidRPr="00380634" w:rsidRDefault="00686FFC" w:rsidP="003806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right"/>
        <w:textAlignment w:val="auto"/>
        <w:rPr>
          <w:rFonts w:ascii="Arial" w:hAnsi="Arial" w:cs="Arial"/>
          <w:sz w:val="20"/>
        </w:rPr>
      </w:pPr>
    </w:p>
    <w:p w:rsidR="00E7689D" w:rsidRDefault="00E7689D" w:rsidP="00E7689D">
      <w:pPr>
        <w:pStyle w:val="Heading1"/>
        <w:rPr>
          <w:szCs w:val="22"/>
        </w:rPr>
      </w:pPr>
      <w:r>
        <w:rPr>
          <w:szCs w:val="22"/>
        </w:rPr>
        <w:t>References</w:t>
      </w:r>
    </w:p>
    <w:bookmarkStart w:id="2" w:name="_Ref273695092"/>
    <w:bookmarkStart w:id="3" w:name="_Ref273620324"/>
    <w:p w:rsidR="00E7689D" w:rsidRPr="000C48A2" w:rsidRDefault="003F45D6" w:rsidP="00E7689D">
      <w:pPr>
        <w:numPr>
          <w:ilvl w:val="0"/>
          <w:numId w:val="11"/>
        </w:numPr>
      </w:pPr>
      <w:r w:rsidRPr="004E361E">
        <w:fldChar w:fldCharType="begin"/>
      </w:r>
      <w:r w:rsidR="004E361E" w:rsidRPr="004E361E">
        <w:instrText xml:space="preserve"> HYPERLINK "mailto:zhengy@qualcomm.com" </w:instrText>
      </w:r>
      <w:r w:rsidRPr="004E361E">
        <w:fldChar w:fldCharType="separate"/>
      </w:r>
      <w:r w:rsidR="004E361E" w:rsidRPr="004E361E">
        <w:t>Y. Zheng</w:t>
      </w:r>
      <w:r w:rsidRPr="004E361E">
        <w:fldChar w:fldCharType="end"/>
      </w:r>
      <w:r w:rsidR="004E361E" w:rsidRPr="004E361E">
        <w:t>, </w:t>
      </w:r>
      <w:hyperlink r:id="rId9" w:history="1">
        <w:r w:rsidR="004E361E" w:rsidRPr="004E361E">
          <w:t xml:space="preserve">M. </w:t>
        </w:r>
        <w:proofErr w:type="spellStart"/>
        <w:r w:rsidR="004E361E" w:rsidRPr="004E361E">
          <w:t>Coban</w:t>
        </w:r>
        <w:proofErr w:type="spellEnd"/>
      </w:hyperlink>
      <w:r w:rsidR="004E361E" w:rsidRPr="004E361E">
        <w:t>,</w:t>
      </w:r>
      <w:r w:rsidR="004E361E">
        <w:t xml:space="preserve"> and </w:t>
      </w:r>
      <w:hyperlink r:id="rId10" w:history="1">
        <w:r w:rsidR="004E361E" w:rsidRPr="004E361E">
          <w:t xml:space="preserve">M. </w:t>
        </w:r>
        <w:proofErr w:type="spellStart"/>
        <w:r w:rsidR="004E361E" w:rsidRPr="004E361E">
          <w:t>Karczewicz</w:t>
        </w:r>
        <w:proofErr w:type="spellEnd"/>
      </w:hyperlink>
      <w:r w:rsidR="00E7689D" w:rsidRPr="004E361E">
        <w:t xml:space="preserve">, </w:t>
      </w:r>
      <w:r w:rsidR="00E7689D">
        <w:t>“</w:t>
      </w:r>
      <w:r w:rsidR="004E361E" w:rsidRPr="004E361E">
        <w:t>CE13: Mode Dependent Hybrid Intra Smoothing</w:t>
      </w:r>
      <w:r w:rsidR="00E7689D">
        <w:t>”, Doc. JCTVC-</w:t>
      </w:r>
      <w:r w:rsidR="004E361E">
        <w:t>D282</w:t>
      </w:r>
      <w:r w:rsidR="00E7689D" w:rsidRPr="006F26F2">
        <w:rPr>
          <w:szCs w:val="22"/>
        </w:rPr>
        <w:t xml:space="preserve">, </w:t>
      </w:r>
      <w:proofErr w:type="spellStart"/>
      <w:r w:rsidR="004E361E">
        <w:rPr>
          <w:szCs w:val="22"/>
        </w:rPr>
        <w:t>Daegu</w:t>
      </w:r>
      <w:proofErr w:type="spellEnd"/>
      <w:r w:rsidR="004E361E">
        <w:rPr>
          <w:szCs w:val="22"/>
        </w:rPr>
        <w:t>, Korea</w:t>
      </w:r>
      <w:r w:rsidR="00E7689D" w:rsidRPr="006F26F2">
        <w:rPr>
          <w:szCs w:val="22"/>
        </w:rPr>
        <w:t xml:space="preserve"> Jul 2010</w:t>
      </w:r>
      <w:bookmarkEnd w:id="2"/>
      <w:r w:rsidR="004E361E">
        <w:rPr>
          <w:szCs w:val="22"/>
        </w:rPr>
        <w:t>.</w:t>
      </w:r>
    </w:p>
    <w:p w:rsidR="000C48A2" w:rsidRDefault="000C48A2" w:rsidP="000C48A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rStyle w:val="apple-style-span"/>
          <w:rFonts w:ascii="Arial" w:hAnsi="Arial" w:cs="Arial"/>
          <w:color w:val="000000"/>
          <w:sz w:val="19"/>
          <w:szCs w:val="19"/>
        </w:rPr>
        <w:t xml:space="preserve">K. Sato, “CE13: Cross-Check Result of 3.2d”, </w:t>
      </w:r>
      <w:r>
        <w:t>Doc. JCTVC-D305</w:t>
      </w:r>
      <w:r w:rsidRPr="004E361E">
        <w:t xml:space="preserve">, </w:t>
      </w:r>
      <w:proofErr w:type="spellStart"/>
      <w:r w:rsidRPr="004E361E">
        <w:t>Daegu</w:t>
      </w:r>
      <w:proofErr w:type="spellEnd"/>
      <w:r w:rsidRPr="004E361E">
        <w:t>, Korea Jul 2010</w:t>
      </w:r>
      <w:r>
        <w:t>.</w:t>
      </w:r>
    </w:p>
    <w:bookmarkStart w:id="4" w:name="_Ref132360163"/>
    <w:bookmarkEnd w:id="3"/>
    <w:p w:rsidR="001F2594" w:rsidRDefault="003F45D6" w:rsidP="009234A5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 w:rsidRPr="004E361E">
        <w:fldChar w:fldCharType="begin"/>
      </w:r>
      <w:r w:rsidR="004E361E" w:rsidRPr="004E361E">
        <w:instrText xml:space="preserve"> HYPERLINK "mailto:benjamin.bross@hhi.fraunhofer.de" </w:instrText>
      </w:r>
      <w:r w:rsidRPr="004E361E">
        <w:fldChar w:fldCharType="separate"/>
      </w:r>
      <w:r w:rsidR="004E361E" w:rsidRPr="004E361E">
        <w:t xml:space="preserve">B. </w:t>
      </w:r>
      <w:proofErr w:type="spellStart"/>
      <w:proofErr w:type="gramStart"/>
      <w:r w:rsidR="004E361E" w:rsidRPr="004E361E">
        <w:t>Bross</w:t>
      </w:r>
      <w:proofErr w:type="spellEnd"/>
      <w:r w:rsidR="004E361E" w:rsidRPr="004E361E">
        <w:t> </w:t>
      </w:r>
      <w:proofErr w:type="gramEnd"/>
      <w:r w:rsidRPr="004E361E">
        <w:fldChar w:fldCharType="end"/>
      </w:r>
      <w:r w:rsidR="004E361E" w:rsidRPr="004E361E">
        <w:t xml:space="preserve">, D. </w:t>
      </w:r>
      <w:proofErr w:type="spellStart"/>
      <w:r w:rsidR="004E361E" w:rsidRPr="004E361E">
        <w:t>Marpe</w:t>
      </w:r>
      <w:proofErr w:type="spellEnd"/>
      <w:r w:rsidR="004E361E" w:rsidRPr="004E361E">
        <w:t xml:space="preserve"> , H. Schwarz , T. </w:t>
      </w:r>
      <w:proofErr w:type="spellStart"/>
      <w:r w:rsidR="004E361E" w:rsidRPr="004E361E">
        <w:t>Wiegand</w:t>
      </w:r>
      <w:proofErr w:type="spellEnd"/>
      <w:r w:rsidR="00E7689D" w:rsidRPr="004E361E">
        <w:t>, “</w:t>
      </w:r>
      <w:r w:rsidR="004E361E" w:rsidRPr="004E361E">
        <w:t xml:space="preserve"> CE13: Intra Smoothing Test Report</w:t>
      </w:r>
      <w:r w:rsidR="00E7689D" w:rsidRPr="004E361E">
        <w:t xml:space="preserve">”, </w:t>
      </w:r>
      <w:bookmarkEnd w:id="4"/>
      <w:r w:rsidR="004E361E">
        <w:t>Doc. JCTVC-D313</w:t>
      </w:r>
      <w:r w:rsidR="004E361E" w:rsidRPr="004E361E">
        <w:t xml:space="preserve">, </w:t>
      </w:r>
      <w:proofErr w:type="spellStart"/>
      <w:r w:rsidR="004E361E" w:rsidRPr="004E361E">
        <w:t>Daegu</w:t>
      </w:r>
      <w:proofErr w:type="spellEnd"/>
      <w:r w:rsidR="004E361E" w:rsidRPr="004E361E">
        <w:t>, Korea Jul 2010</w:t>
      </w:r>
      <w:r w:rsidR="004E361E">
        <w:t>.</w:t>
      </w:r>
    </w:p>
    <w:p w:rsidR="004E361E" w:rsidRPr="004E361E" w:rsidRDefault="004E361E" w:rsidP="009234A5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szCs w:val="22"/>
        </w:rPr>
        <w:t xml:space="preserve">Frank </w:t>
      </w:r>
      <w:proofErr w:type="spellStart"/>
      <w:r>
        <w:rPr>
          <w:szCs w:val="22"/>
        </w:rPr>
        <w:t>Bossen</w:t>
      </w:r>
      <w:proofErr w:type="spellEnd"/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 w:rsidRPr="00D55A20">
        <w:rPr>
          <w:lang w:eastAsia="ko-KR"/>
        </w:rPr>
        <w:t>Common test conditions and software reference configurations</w:t>
      </w:r>
      <w:r>
        <w:rPr>
          <w:lang w:eastAsia="ko-KR"/>
        </w:rPr>
        <w:t>”</w:t>
      </w:r>
      <w:r>
        <w:rPr>
          <w:rFonts w:hint="eastAsia"/>
          <w:lang w:eastAsia="ko-KR"/>
        </w:rPr>
        <w:t>, JCTVC-C500, Guangzhou, October 2010</w:t>
      </w:r>
      <w:r>
        <w:rPr>
          <w:lang w:eastAsia="ko-KR"/>
        </w:rPr>
        <w:t>.</w:t>
      </w:r>
    </w:p>
    <w:p w:rsidR="001F2594" w:rsidRPr="002B191D" w:rsidRDefault="001F2594" w:rsidP="00E11923">
      <w:pPr>
        <w:pStyle w:val="Heading1"/>
      </w:pPr>
      <w:r w:rsidRPr="00E11923">
        <w:lastRenderedPageBreak/>
        <w:t>Patent</w:t>
      </w:r>
      <w:r w:rsidRPr="002B191D">
        <w:t xml:space="preserve"> rights declaration</w:t>
      </w:r>
      <w:r w:rsidR="00B94B06" w:rsidRPr="002B191D">
        <w:t>(s)</w:t>
      </w:r>
    </w:p>
    <w:p w:rsidR="00712F60" w:rsidRPr="0007614F" w:rsidRDefault="00712F60" w:rsidP="00380634">
      <w:pPr>
        <w:jc w:val="both"/>
        <w:rPr>
          <w:szCs w:val="22"/>
        </w:rPr>
      </w:pPr>
      <w:r w:rsidRPr="0007614F">
        <w:rPr>
          <w:szCs w:val="22"/>
        </w:rPr>
        <w:t>(NOTE – Activities in the JCT-VC and contributions to the JCT-VC are subject to the common patent policy for ITU-T/ITU-R/ISO/IEC. A statement of that policy can be found at</w:t>
      </w:r>
      <w:r w:rsidRPr="0007614F">
        <w:rPr>
          <w:szCs w:val="22"/>
        </w:rPr>
        <w:br/>
      </w:r>
      <w:hyperlink r:id="rId11" w:history="1">
        <w:r w:rsidRPr="0007614F">
          <w:rPr>
            <w:rStyle w:val="Hyperlink"/>
            <w:szCs w:val="22"/>
          </w:rPr>
          <w:t>http://www.itu.int/ITU-T/dbase/patent/patent-policy.html</w:t>
        </w:r>
      </w:hyperlink>
      <w:r w:rsidRPr="0007614F">
        <w:rPr>
          <w:szCs w:val="22"/>
        </w:rPr>
        <w:t xml:space="preserve">, with further information available at </w:t>
      </w:r>
      <w:hyperlink r:id="rId12" w:history="1">
        <w:r w:rsidR="0007614F" w:rsidRPr="00A92858">
          <w:rPr>
            <w:rStyle w:val="Hyperlink"/>
            <w:szCs w:val="22"/>
          </w:rPr>
          <w:t>http://www.itu.int/ITU-T/ipr/index.html</w:t>
        </w:r>
      </w:hyperlink>
      <w:r w:rsidR="003373EC" w:rsidRPr="0007614F">
        <w:rPr>
          <w:szCs w:val="22"/>
        </w:rPr>
        <w:t xml:space="preserve"> </w:t>
      </w:r>
      <w:r w:rsidR="00A83253" w:rsidRPr="0007614F">
        <w:rPr>
          <w:szCs w:val="22"/>
        </w:rPr>
        <w:t>and</w:t>
      </w:r>
      <w:r w:rsidR="006E2810">
        <w:rPr>
          <w:szCs w:val="22"/>
        </w:rPr>
        <w:t xml:space="preserve"> in</w:t>
      </w:r>
      <w:r w:rsidR="003373EC" w:rsidRPr="0007614F">
        <w:rPr>
          <w:szCs w:val="22"/>
        </w:rPr>
        <w:t xml:space="preserve"> </w:t>
      </w:r>
      <w:hyperlink r:id="rId13" w:history="1">
        <w:r w:rsidR="006E2810" w:rsidRPr="0007614F">
          <w:rPr>
            <w:rStyle w:val="Hyperlink"/>
            <w:rFonts w:eastAsia="MS Mincho"/>
            <w:szCs w:val="22"/>
            <w:lang w:val="en-GB"/>
          </w:rPr>
          <w:t>the ISO/IEC Directives</w:t>
        </w:r>
      </w:hyperlink>
      <w:r w:rsidRPr="0007614F">
        <w:rPr>
          <w:szCs w:val="22"/>
        </w:rPr>
        <w:t xml:space="preserve">. The form to be used for the formal reporting of patent rights to ITU-T/ITU-R/ISO/IEC can be found at </w:t>
      </w:r>
      <w:hyperlink r:id="rId14" w:history="1">
        <w:r w:rsidRPr="0007614F">
          <w:rPr>
            <w:rStyle w:val="Hyperlink"/>
            <w:szCs w:val="22"/>
          </w:rPr>
          <w:t>http://www.itu.int/ITU-T/ipr/index.html</w:t>
        </w:r>
      </w:hyperlink>
      <w:r w:rsidRPr="0007614F">
        <w:rPr>
          <w:szCs w:val="22"/>
        </w:rPr>
        <w:t>.</w:t>
      </w:r>
      <w:r w:rsidR="00D807BF">
        <w:rPr>
          <w:szCs w:val="22"/>
        </w:rPr>
        <w:t xml:space="preserve"> </w:t>
      </w:r>
      <w:r w:rsidRPr="0007614F">
        <w:rPr>
          <w:szCs w:val="22"/>
        </w:rPr>
        <w:t>Contributions to the JCT-VC proposing normative technical content shall contain a non-binding informal notice of whether the submitter may have patent rights that would be necessary for implementation of the resulting standard.</w:t>
      </w:r>
      <w:r w:rsidR="00D807BF">
        <w:rPr>
          <w:szCs w:val="22"/>
        </w:rPr>
        <w:t xml:space="preserve"> </w:t>
      </w:r>
      <w:r w:rsidRPr="0007614F">
        <w:rPr>
          <w:szCs w:val="22"/>
        </w:rPr>
        <w:t>The provided informal notice shall indicate the category of anticipated licensing terms according to the ITU-T/ITU-R/ISO/IEC patent statement and licensing declaration form.</w:t>
      </w:r>
      <w:r w:rsidR="00D807BF">
        <w:rPr>
          <w:szCs w:val="22"/>
        </w:rPr>
        <w:t xml:space="preserve"> </w:t>
      </w:r>
      <w:r w:rsidRPr="0007614F">
        <w:rPr>
          <w:szCs w:val="22"/>
        </w:rPr>
        <w:t xml:space="preserve">This obligation to provide an informal notice is supplemental to, and does not replace, any existing obligations of parties with technology included in </w:t>
      </w:r>
      <w:r w:rsidR="00A83253" w:rsidRPr="0007614F">
        <w:rPr>
          <w:szCs w:val="22"/>
        </w:rPr>
        <w:t>a</w:t>
      </w:r>
      <w:r w:rsidRPr="0007614F">
        <w:rPr>
          <w:szCs w:val="22"/>
        </w:rPr>
        <w:t xml:space="preserve"> final </w:t>
      </w:r>
      <w:r w:rsidR="00A83253" w:rsidRPr="0007614F">
        <w:rPr>
          <w:szCs w:val="22"/>
        </w:rPr>
        <w:t xml:space="preserve">or draft </w:t>
      </w:r>
      <w:r w:rsidRPr="0007614F">
        <w:rPr>
          <w:szCs w:val="22"/>
        </w:rPr>
        <w:t>standard to submit formal IPR declarations to ITU-T/ITU-R/ISO/IEC. An example of an informal IPR notification statement for a contribution is provided below.)</w:t>
      </w:r>
    </w:p>
    <w:p w:rsidR="00712F60" w:rsidRPr="000E00F3" w:rsidRDefault="00712F60" w:rsidP="00380634">
      <w:pPr>
        <w:jc w:val="both"/>
        <w:rPr>
          <w:szCs w:val="22"/>
        </w:rPr>
      </w:pPr>
    </w:p>
    <w:p w:rsidR="001F2594" w:rsidRDefault="001D34B1" w:rsidP="00380634">
      <w:pPr>
        <w:jc w:val="both"/>
        <w:rPr>
          <w:szCs w:val="22"/>
        </w:rPr>
      </w:pPr>
      <w:r w:rsidRPr="00BF4BAC">
        <w:rPr>
          <w:b/>
          <w:szCs w:val="22"/>
        </w:rPr>
        <w:t>Sony Corporation</w:t>
      </w:r>
      <w:r w:rsidRPr="00A01439">
        <w:rPr>
          <w:b/>
          <w:szCs w:val="22"/>
        </w:rPr>
        <w:t xml:space="preserve"> </w:t>
      </w:r>
      <w:r w:rsidR="00F37562">
        <w:rPr>
          <w:rFonts w:hint="eastAsia"/>
          <w:b/>
          <w:szCs w:val="22"/>
          <w:lang w:eastAsia="ja-JP"/>
        </w:rPr>
        <w:t xml:space="preserve">and SHARP Corporation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Pr="009234A5" w:rsidRDefault="007F1F8B" w:rsidP="00380634">
      <w:pPr>
        <w:jc w:val="both"/>
        <w:rPr>
          <w:szCs w:val="22"/>
        </w:rPr>
      </w:pPr>
    </w:p>
    <w:sectPr w:rsidR="007F1F8B" w:rsidRPr="009234A5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BBC" w:rsidRDefault="00EE5BBC">
      <w:r>
        <w:separator/>
      </w:r>
    </w:p>
  </w:endnote>
  <w:endnote w:type="continuationSeparator" w:id="0">
    <w:p w:rsidR="00EE5BBC" w:rsidRDefault="00EE5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F45D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F45D6">
      <w:rPr>
        <w:rStyle w:val="PageNumber"/>
      </w:rPr>
      <w:fldChar w:fldCharType="separate"/>
    </w:r>
    <w:r w:rsidR="00977018">
      <w:rPr>
        <w:rStyle w:val="PageNumber"/>
        <w:noProof/>
      </w:rPr>
      <w:t>1</w:t>
    </w:r>
    <w:r w:rsidR="003F45D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F45D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F45D6">
      <w:rPr>
        <w:rStyle w:val="PageNumber"/>
      </w:rPr>
      <w:fldChar w:fldCharType="separate"/>
    </w:r>
    <w:r w:rsidR="00FC6072">
      <w:rPr>
        <w:rStyle w:val="PageNumber"/>
        <w:noProof/>
      </w:rPr>
      <w:t>2011-01-15</w:t>
    </w:r>
    <w:r w:rsidR="003F45D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BBC" w:rsidRDefault="00EE5BBC">
      <w:r>
        <w:separator/>
      </w:r>
    </w:p>
  </w:footnote>
  <w:footnote w:type="continuationSeparator" w:id="0">
    <w:p w:rsidR="00EE5BBC" w:rsidRDefault="00EE5B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4A4454D"/>
    <w:multiLevelType w:val="hybridMultilevel"/>
    <w:tmpl w:val="B4C0D23C"/>
    <w:lvl w:ilvl="0" w:tplc="E2E86C98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7655"/>
    <w:rsid w:val="00030693"/>
    <w:rsid w:val="000458BC"/>
    <w:rsid w:val="00045C41"/>
    <w:rsid w:val="00046C03"/>
    <w:rsid w:val="00055BEC"/>
    <w:rsid w:val="0007614F"/>
    <w:rsid w:val="0008161D"/>
    <w:rsid w:val="000B1C6B"/>
    <w:rsid w:val="000C09AC"/>
    <w:rsid w:val="000C48A2"/>
    <w:rsid w:val="000E00F3"/>
    <w:rsid w:val="000F158C"/>
    <w:rsid w:val="00124E38"/>
    <w:rsid w:val="0012580B"/>
    <w:rsid w:val="0013316A"/>
    <w:rsid w:val="0013526E"/>
    <w:rsid w:val="00137A2F"/>
    <w:rsid w:val="00155D32"/>
    <w:rsid w:val="00171371"/>
    <w:rsid w:val="00175A24"/>
    <w:rsid w:val="001807AB"/>
    <w:rsid w:val="00187E58"/>
    <w:rsid w:val="001A297E"/>
    <w:rsid w:val="001A368E"/>
    <w:rsid w:val="001A39F9"/>
    <w:rsid w:val="001A7329"/>
    <w:rsid w:val="001B4E28"/>
    <w:rsid w:val="001C3525"/>
    <w:rsid w:val="001D1BD2"/>
    <w:rsid w:val="001D34B1"/>
    <w:rsid w:val="001E02BE"/>
    <w:rsid w:val="001E1FD1"/>
    <w:rsid w:val="001E3B37"/>
    <w:rsid w:val="001F2594"/>
    <w:rsid w:val="00204D84"/>
    <w:rsid w:val="00206460"/>
    <w:rsid w:val="002069B4"/>
    <w:rsid w:val="00215DFC"/>
    <w:rsid w:val="002212DF"/>
    <w:rsid w:val="002226E4"/>
    <w:rsid w:val="00227BA7"/>
    <w:rsid w:val="00233902"/>
    <w:rsid w:val="00265955"/>
    <w:rsid w:val="00275BCF"/>
    <w:rsid w:val="00292257"/>
    <w:rsid w:val="00292BD3"/>
    <w:rsid w:val="002A54E0"/>
    <w:rsid w:val="002B1595"/>
    <w:rsid w:val="002B191D"/>
    <w:rsid w:val="002D0AF6"/>
    <w:rsid w:val="002F164D"/>
    <w:rsid w:val="002F412F"/>
    <w:rsid w:val="00306206"/>
    <w:rsid w:val="00327C56"/>
    <w:rsid w:val="003315A1"/>
    <w:rsid w:val="003373EC"/>
    <w:rsid w:val="00351F46"/>
    <w:rsid w:val="003706CC"/>
    <w:rsid w:val="00380634"/>
    <w:rsid w:val="003A2D8E"/>
    <w:rsid w:val="003C20E4"/>
    <w:rsid w:val="003E6F90"/>
    <w:rsid w:val="003F45D6"/>
    <w:rsid w:val="003F5D0F"/>
    <w:rsid w:val="00403728"/>
    <w:rsid w:val="00414101"/>
    <w:rsid w:val="00433DDB"/>
    <w:rsid w:val="00437619"/>
    <w:rsid w:val="004806AD"/>
    <w:rsid w:val="004B0F97"/>
    <w:rsid w:val="004B210C"/>
    <w:rsid w:val="004C7DA3"/>
    <w:rsid w:val="004D405F"/>
    <w:rsid w:val="004E361E"/>
    <w:rsid w:val="004F6189"/>
    <w:rsid w:val="004F61E3"/>
    <w:rsid w:val="0051015C"/>
    <w:rsid w:val="00530805"/>
    <w:rsid w:val="00531AE9"/>
    <w:rsid w:val="00567EC7"/>
    <w:rsid w:val="00570013"/>
    <w:rsid w:val="00571B6C"/>
    <w:rsid w:val="005728DE"/>
    <w:rsid w:val="0058631B"/>
    <w:rsid w:val="00586F8B"/>
    <w:rsid w:val="005A33A1"/>
    <w:rsid w:val="005B19FD"/>
    <w:rsid w:val="005C385F"/>
    <w:rsid w:val="005F6F1B"/>
    <w:rsid w:val="00624B33"/>
    <w:rsid w:val="00630AA2"/>
    <w:rsid w:val="00646707"/>
    <w:rsid w:val="00664DCF"/>
    <w:rsid w:val="00686FFC"/>
    <w:rsid w:val="006B33F3"/>
    <w:rsid w:val="006C5D39"/>
    <w:rsid w:val="006E2810"/>
    <w:rsid w:val="006E5417"/>
    <w:rsid w:val="006F26F3"/>
    <w:rsid w:val="007001B0"/>
    <w:rsid w:val="007002DA"/>
    <w:rsid w:val="00712F60"/>
    <w:rsid w:val="00720E3B"/>
    <w:rsid w:val="0072591E"/>
    <w:rsid w:val="00736F7F"/>
    <w:rsid w:val="00745F6B"/>
    <w:rsid w:val="0074679E"/>
    <w:rsid w:val="00746E09"/>
    <w:rsid w:val="0075173B"/>
    <w:rsid w:val="0075585E"/>
    <w:rsid w:val="007768FF"/>
    <w:rsid w:val="007824D3"/>
    <w:rsid w:val="00796EE3"/>
    <w:rsid w:val="007A7D29"/>
    <w:rsid w:val="007A7E29"/>
    <w:rsid w:val="007C727F"/>
    <w:rsid w:val="007E6EFE"/>
    <w:rsid w:val="007F1F8B"/>
    <w:rsid w:val="00811655"/>
    <w:rsid w:val="008206C8"/>
    <w:rsid w:val="00874A6C"/>
    <w:rsid w:val="00876C65"/>
    <w:rsid w:val="00890C75"/>
    <w:rsid w:val="008A4B4C"/>
    <w:rsid w:val="008C239F"/>
    <w:rsid w:val="008E7371"/>
    <w:rsid w:val="00907757"/>
    <w:rsid w:val="009212B0"/>
    <w:rsid w:val="009234A5"/>
    <w:rsid w:val="009336F7"/>
    <w:rsid w:val="009374A7"/>
    <w:rsid w:val="009549B5"/>
    <w:rsid w:val="00977018"/>
    <w:rsid w:val="0099518F"/>
    <w:rsid w:val="009A212B"/>
    <w:rsid w:val="009A523D"/>
    <w:rsid w:val="009A6965"/>
    <w:rsid w:val="009F496B"/>
    <w:rsid w:val="00A01439"/>
    <w:rsid w:val="00A02E61"/>
    <w:rsid w:val="00A05CFF"/>
    <w:rsid w:val="00A06F10"/>
    <w:rsid w:val="00A528EF"/>
    <w:rsid w:val="00A53787"/>
    <w:rsid w:val="00A56B97"/>
    <w:rsid w:val="00A6093D"/>
    <w:rsid w:val="00A76A6D"/>
    <w:rsid w:val="00A83253"/>
    <w:rsid w:val="00AA6E84"/>
    <w:rsid w:val="00AE341B"/>
    <w:rsid w:val="00AE6140"/>
    <w:rsid w:val="00AE67D4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C6C88"/>
    <w:rsid w:val="00BE773E"/>
    <w:rsid w:val="00C0609D"/>
    <w:rsid w:val="00C115AB"/>
    <w:rsid w:val="00C2656D"/>
    <w:rsid w:val="00C26676"/>
    <w:rsid w:val="00C30249"/>
    <w:rsid w:val="00C606C9"/>
    <w:rsid w:val="00C7760E"/>
    <w:rsid w:val="00C90650"/>
    <w:rsid w:val="00C97D78"/>
    <w:rsid w:val="00CC5A42"/>
    <w:rsid w:val="00CD0EAB"/>
    <w:rsid w:val="00CF2F04"/>
    <w:rsid w:val="00CF34DB"/>
    <w:rsid w:val="00CF3F3F"/>
    <w:rsid w:val="00CF558F"/>
    <w:rsid w:val="00D073E2"/>
    <w:rsid w:val="00D446EC"/>
    <w:rsid w:val="00D51BF0"/>
    <w:rsid w:val="00D55942"/>
    <w:rsid w:val="00D720E5"/>
    <w:rsid w:val="00D807BF"/>
    <w:rsid w:val="00DA7887"/>
    <w:rsid w:val="00DB2C26"/>
    <w:rsid w:val="00DE6B43"/>
    <w:rsid w:val="00E00F9C"/>
    <w:rsid w:val="00E11923"/>
    <w:rsid w:val="00E262D4"/>
    <w:rsid w:val="00E36250"/>
    <w:rsid w:val="00E54511"/>
    <w:rsid w:val="00E569D7"/>
    <w:rsid w:val="00E61DAC"/>
    <w:rsid w:val="00E73D86"/>
    <w:rsid w:val="00E749CC"/>
    <w:rsid w:val="00E75FE3"/>
    <w:rsid w:val="00E7689D"/>
    <w:rsid w:val="00EB7AB1"/>
    <w:rsid w:val="00EE5BBC"/>
    <w:rsid w:val="00EF48CC"/>
    <w:rsid w:val="00F37562"/>
    <w:rsid w:val="00F635CF"/>
    <w:rsid w:val="00F706FD"/>
    <w:rsid w:val="00F73032"/>
    <w:rsid w:val="00F848FC"/>
    <w:rsid w:val="00F9282A"/>
    <w:rsid w:val="00F96BAD"/>
    <w:rsid w:val="00FB0E84"/>
    <w:rsid w:val="00FC6072"/>
    <w:rsid w:val="00FD01C2"/>
    <w:rsid w:val="00FD04E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04E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04E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D04EC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8116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1D34B1"/>
    <w:rPr>
      <w:b/>
      <w:bCs/>
      <w:sz w:val="20"/>
    </w:rPr>
  </w:style>
  <w:style w:type="character" w:customStyle="1" w:styleId="apple-style-span">
    <w:name w:val="apple-style-span"/>
    <w:basedOn w:val="DefaultParagraphFont"/>
    <w:rsid w:val="004E361E"/>
  </w:style>
  <w:style w:type="character" w:customStyle="1" w:styleId="apple-converted-space">
    <w:name w:val="apple-converted-space"/>
    <w:basedOn w:val="DefaultParagraphFont"/>
    <w:rsid w:val="004E361E"/>
  </w:style>
  <w:style w:type="character" w:styleId="PlaceholderText">
    <w:name w:val="Placeholder Text"/>
    <w:basedOn w:val="DefaultParagraphFont"/>
    <w:uiPriority w:val="99"/>
    <w:semiHidden/>
    <w:rsid w:val="009549B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isotc.iso.org/livelink/livelink?func=ll&amp;objId=4230455&amp;objAction=browse&amp;sort=subtyp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tu.int/ITU-T/ipr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u.int/ITU-T/dbase/patent/patent-policy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martak@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coban@qualcomm.com" TargetMode="External"/><Relationship Id="rId14" Type="http://schemas.openxmlformats.org/officeDocument/2006/relationships/hyperlink" Target="http://www.itu.int/ITU-T/ipr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940</Words>
  <Characters>5764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Ali Tabatabai</cp:lastModifiedBy>
  <cp:revision>3</cp:revision>
  <cp:lastPrinted>2011-01-12T00:45:00Z</cp:lastPrinted>
  <dcterms:created xsi:type="dcterms:W3CDTF">2011-01-16T01:25:00Z</dcterms:created>
  <dcterms:modified xsi:type="dcterms:W3CDTF">2011-01-16T01:27:00Z</dcterms:modified>
</cp:coreProperties>
</file>