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5913C2" w:rsidRPr="003E5A42">
        <w:tc>
          <w:tcPr>
            <w:tcW w:w="6408" w:type="dxa"/>
          </w:tcPr>
          <w:p w:rsidR="005913C2" w:rsidRPr="003E5A42" w:rsidRDefault="00A622DF" w:rsidP="00C97D78">
            <w:pPr>
              <w:tabs>
                <w:tab w:val="left" w:pos="7200"/>
              </w:tabs>
              <w:spacing w:before="0"/>
              <w:rPr>
                <w:b/>
                <w:szCs w:val="22"/>
              </w:rPr>
            </w:pPr>
            <w:r w:rsidRPr="00A622DF">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23014">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923014">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5913C2" w:rsidRPr="003E5A42">
              <w:rPr>
                <w:b/>
                <w:szCs w:val="22"/>
              </w:rPr>
              <w:t>Joint Collaborative Team on Video Coding (JCT-VC)</w:t>
            </w:r>
          </w:p>
          <w:p w:rsidR="005913C2" w:rsidRPr="003E5A42" w:rsidRDefault="005913C2" w:rsidP="00C97D78">
            <w:pPr>
              <w:tabs>
                <w:tab w:val="left" w:pos="7200"/>
              </w:tabs>
              <w:spacing w:before="0"/>
              <w:rPr>
                <w:b/>
                <w:szCs w:val="22"/>
              </w:rPr>
            </w:pPr>
            <w:r w:rsidRPr="003E5A42">
              <w:rPr>
                <w:b/>
                <w:szCs w:val="22"/>
              </w:rPr>
              <w:t>of ITU-T SG16 WP3 and ISO/IEC JTC1/SC29/WG11</w:t>
            </w:r>
          </w:p>
          <w:p w:rsidR="005913C2" w:rsidRPr="003E5A42" w:rsidRDefault="005913C2" w:rsidP="00630AA2">
            <w:pPr>
              <w:tabs>
                <w:tab w:val="left" w:pos="7200"/>
              </w:tabs>
              <w:spacing w:before="0"/>
              <w:rPr>
                <w:b/>
                <w:szCs w:val="22"/>
              </w:rPr>
            </w:pPr>
            <w:r w:rsidRPr="003E5A42">
              <w:rPr>
                <w:szCs w:val="22"/>
              </w:rPr>
              <w:t xml:space="preserve">4th Meeting: </w:t>
            </w:r>
            <w:proofErr w:type="spellStart"/>
            <w:r w:rsidRPr="003E5A42">
              <w:rPr>
                <w:szCs w:val="22"/>
              </w:rPr>
              <w:t>Daegu</w:t>
            </w:r>
            <w:proofErr w:type="spellEnd"/>
            <w:r w:rsidRPr="003E5A42">
              <w:rPr>
                <w:szCs w:val="22"/>
              </w:rPr>
              <w:t>, KR, 20-28 January, 2011</w:t>
            </w:r>
          </w:p>
        </w:tc>
        <w:tc>
          <w:tcPr>
            <w:tcW w:w="3168" w:type="dxa"/>
          </w:tcPr>
          <w:p w:rsidR="005913C2" w:rsidRPr="003E5A42" w:rsidRDefault="005913C2" w:rsidP="008A4B4C">
            <w:pPr>
              <w:tabs>
                <w:tab w:val="left" w:pos="7200"/>
              </w:tabs>
              <w:rPr>
                <w:u w:val="single"/>
              </w:rPr>
            </w:pPr>
            <w:r w:rsidRPr="003E5A42">
              <w:t>Document: JCTVC-D</w:t>
            </w:r>
            <w:r w:rsidRPr="00C97161">
              <w:t>279</w:t>
            </w:r>
            <w:r w:rsidR="00480D69">
              <w:t>_r1</w:t>
            </w:r>
          </w:p>
        </w:tc>
      </w:tr>
    </w:tbl>
    <w:p w:rsidR="005913C2" w:rsidRPr="00AE341B" w:rsidRDefault="005913C2" w:rsidP="00531AE9">
      <w:pPr>
        <w:spacing w:before="0"/>
      </w:pPr>
    </w:p>
    <w:tbl>
      <w:tblPr>
        <w:tblW w:w="9606" w:type="dxa"/>
        <w:tblLayout w:type="fixed"/>
        <w:tblLook w:val="0000"/>
      </w:tblPr>
      <w:tblGrid>
        <w:gridCol w:w="1458"/>
        <w:gridCol w:w="4050"/>
        <w:gridCol w:w="3814"/>
        <w:gridCol w:w="284"/>
      </w:tblGrid>
      <w:tr w:rsidR="005913C2" w:rsidRPr="003E5A42" w:rsidTr="00AE6140">
        <w:tc>
          <w:tcPr>
            <w:tcW w:w="1458" w:type="dxa"/>
          </w:tcPr>
          <w:p w:rsidR="005913C2" w:rsidRPr="003E5A42" w:rsidRDefault="005913C2">
            <w:pPr>
              <w:spacing w:before="60" w:after="60"/>
              <w:rPr>
                <w:i/>
                <w:szCs w:val="22"/>
              </w:rPr>
            </w:pPr>
            <w:r w:rsidRPr="003E5A42">
              <w:rPr>
                <w:i/>
                <w:szCs w:val="22"/>
              </w:rPr>
              <w:t>Title:</w:t>
            </w:r>
          </w:p>
        </w:tc>
        <w:tc>
          <w:tcPr>
            <w:tcW w:w="8148" w:type="dxa"/>
            <w:gridSpan w:val="3"/>
          </w:tcPr>
          <w:p w:rsidR="005913C2" w:rsidRPr="003E5A42" w:rsidRDefault="005913C2" w:rsidP="00A528EF">
            <w:pPr>
              <w:spacing w:before="60" w:after="60"/>
              <w:rPr>
                <w:b/>
                <w:szCs w:val="22"/>
              </w:rPr>
            </w:pPr>
            <w:r w:rsidRPr="003E5A42">
              <w:rPr>
                <w:b/>
                <w:szCs w:val="22"/>
              </w:rPr>
              <w:t>Summary and Improvements of DCIM</w:t>
            </w:r>
          </w:p>
        </w:tc>
      </w:tr>
      <w:tr w:rsidR="005913C2" w:rsidRPr="003E5A42" w:rsidTr="00AE6140">
        <w:tc>
          <w:tcPr>
            <w:tcW w:w="1458" w:type="dxa"/>
          </w:tcPr>
          <w:p w:rsidR="005913C2" w:rsidRPr="003E5A42" w:rsidRDefault="005913C2">
            <w:pPr>
              <w:spacing w:before="60" w:after="60"/>
              <w:rPr>
                <w:i/>
                <w:szCs w:val="22"/>
              </w:rPr>
            </w:pPr>
            <w:r w:rsidRPr="003E5A42">
              <w:rPr>
                <w:i/>
                <w:szCs w:val="22"/>
              </w:rPr>
              <w:t>Status:</w:t>
            </w:r>
          </w:p>
        </w:tc>
        <w:tc>
          <w:tcPr>
            <w:tcW w:w="8148" w:type="dxa"/>
            <w:gridSpan w:val="3"/>
          </w:tcPr>
          <w:p w:rsidR="005913C2" w:rsidRPr="003E5A42" w:rsidRDefault="005913C2">
            <w:pPr>
              <w:spacing w:before="60" w:after="60"/>
              <w:rPr>
                <w:szCs w:val="22"/>
              </w:rPr>
            </w:pPr>
            <w:r w:rsidRPr="003E5A42">
              <w:rPr>
                <w:szCs w:val="22"/>
              </w:rPr>
              <w:t>Input Document to JCT-VC</w:t>
            </w:r>
          </w:p>
        </w:tc>
      </w:tr>
      <w:tr w:rsidR="005913C2" w:rsidRPr="003E5A42" w:rsidTr="00AE6140">
        <w:tc>
          <w:tcPr>
            <w:tcW w:w="1458" w:type="dxa"/>
          </w:tcPr>
          <w:p w:rsidR="005913C2" w:rsidRPr="003E5A42" w:rsidRDefault="005913C2">
            <w:pPr>
              <w:spacing w:before="60" w:after="60"/>
              <w:rPr>
                <w:i/>
                <w:szCs w:val="22"/>
              </w:rPr>
            </w:pPr>
            <w:r w:rsidRPr="003E5A42">
              <w:rPr>
                <w:i/>
                <w:szCs w:val="22"/>
              </w:rPr>
              <w:t>Purpose:</w:t>
            </w:r>
          </w:p>
        </w:tc>
        <w:tc>
          <w:tcPr>
            <w:tcW w:w="8148" w:type="dxa"/>
            <w:gridSpan w:val="3"/>
          </w:tcPr>
          <w:p w:rsidR="005913C2" w:rsidRPr="003E5A42" w:rsidRDefault="005913C2">
            <w:pPr>
              <w:spacing w:before="60" w:after="60"/>
              <w:rPr>
                <w:szCs w:val="22"/>
              </w:rPr>
            </w:pPr>
            <w:r w:rsidRPr="003E5A42">
              <w:rPr>
                <w:szCs w:val="22"/>
              </w:rPr>
              <w:t>Report</w:t>
            </w:r>
          </w:p>
        </w:tc>
      </w:tr>
      <w:tr w:rsidR="005913C2" w:rsidRPr="00403342" w:rsidTr="00AE6140">
        <w:tc>
          <w:tcPr>
            <w:tcW w:w="1458" w:type="dxa"/>
          </w:tcPr>
          <w:p w:rsidR="005913C2" w:rsidRPr="003E5A42" w:rsidRDefault="005913C2" w:rsidP="00A86824">
            <w:pPr>
              <w:spacing w:before="60" w:after="60"/>
              <w:rPr>
                <w:i/>
                <w:szCs w:val="22"/>
              </w:rPr>
            </w:pPr>
            <w:r w:rsidRPr="003E5A42">
              <w:rPr>
                <w:i/>
                <w:szCs w:val="22"/>
              </w:rPr>
              <w:t>Author(s) or</w:t>
            </w:r>
            <w:r w:rsidRPr="003E5A42">
              <w:rPr>
                <w:i/>
                <w:szCs w:val="22"/>
              </w:rPr>
              <w:br/>
              <w:t>Contact(s):</w:t>
            </w:r>
          </w:p>
        </w:tc>
        <w:tc>
          <w:tcPr>
            <w:tcW w:w="4050" w:type="dxa"/>
          </w:tcPr>
          <w:p w:rsidR="00480D69" w:rsidRPr="00480D69" w:rsidRDefault="00480D69" w:rsidP="00480D69">
            <w:pPr>
              <w:rPr>
                <w:szCs w:val="22"/>
              </w:rPr>
            </w:pPr>
            <w:r w:rsidRPr="00480D69">
              <w:rPr>
                <w:szCs w:val="22"/>
              </w:rPr>
              <w:t xml:space="preserve">E. Maani, A. Tabatabai </w:t>
            </w:r>
          </w:p>
          <w:p w:rsidR="00480D69" w:rsidRPr="00480D69" w:rsidRDefault="00480D69" w:rsidP="00480D69">
            <w:pPr>
              <w:rPr>
                <w:szCs w:val="22"/>
              </w:rPr>
            </w:pPr>
            <w:r w:rsidRPr="00480D69">
              <w:rPr>
                <w:szCs w:val="22"/>
              </w:rPr>
              <w:t>1730 N 1st Street</w:t>
            </w:r>
          </w:p>
          <w:p w:rsidR="00480D69" w:rsidRDefault="00480D69" w:rsidP="00480D69">
            <w:pPr>
              <w:rPr>
                <w:szCs w:val="22"/>
              </w:rPr>
            </w:pPr>
            <w:r>
              <w:rPr>
                <w:szCs w:val="22"/>
              </w:rPr>
              <w:t>San Jose, CA 95112</w:t>
            </w:r>
          </w:p>
          <w:p w:rsidR="00480D69" w:rsidRPr="00480D69" w:rsidRDefault="00480D69" w:rsidP="00480D69">
            <w:pPr>
              <w:rPr>
                <w:szCs w:val="22"/>
              </w:rPr>
            </w:pPr>
          </w:p>
          <w:p w:rsidR="00480D69" w:rsidRPr="00480D69" w:rsidRDefault="00480D69" w:rsidP="00480D69">
            <w:pPr>
              <w:rPr>
                <w:szCs w:val="22"/>
              </w:rPr>
            </w:pPr>
            <w:r w:rsidRPr="00480D69">
              <w:rPr>
                <w:szCs w:val="22"/>
              </w:rPr>
              <w:t>Tomoyuki Yamamoto</w:t>
            </w:r>
          </w:p>
          <w:p w:rsidR="00480D69" w:rsidRPr="00480D69" w:rsidRDefault="00480D69" w:rsidP="00480D69">
            <w:pPr>
              <w:rPr>
                <w:szCs w:val="22"/>
              </w:rPr>
            </w:pPr>
            <w:r w:rsidRPr="00480D69">
              <w:rPr>
                <w:szCs w:val="22"/>
              </w:rPr>
              <w:t xml:space="preserve">1-9-2 </w:t>
            </w:r>
            <w:proofErr w:type="spellStart"/>
            <w:r w:rsidRPr="00480D69">
              <w:rPr>
                <w:szCs w:val="22"/>
              </w:rPr>
              <w:t>Nakase</w:t>
            </w:r>
            <w:proofErr w:type="spellEnd"/>
            <w:r w:rsidRPr="00480D69">
              <w:rPr>
                <w:szCs w:val="22"/>
              </w:rPr>
              <w:t>, Mihama-</w:t>
            </w:r>
            <w:proofErr w:type="spellStart"/>
            <w:r w:rsidRPr="00480D69">
              <w:rPr>
                <w:szCs w:val="22"/>
              </w:rPr>
              <w:t>ku</w:t>
            </w:r>
            <w:proofErr w:type="spellEnd"/>
            <w:r w:rsidRPr="00480D69">
              <w:rPr>
                <w:szCs w:val="22"/>
              </w:rPr>
              <w:t>, Chiba-</w:t>
            </w:r>
            <w:proofErr w:type="spellStart"/>
            <w:r w:rsidRPr="00480D69">
              <w:rPr>
                <w:szCs w:val="22"/>
              </w:rPr>
              <w:t>shi</w:t>
            </w:r>
            <w:proofErr w:type="spellEnd"/>
            <w:r w:rsidRPr="00480D69">
              <w:rPr>
                <w:szCs w:val="22"/>
              </w:rPr>
              <w:t>,</w:t>
            </w:r>
          </w:p>
          <w:p w:rsidR="00480D69" w:rsidRPr="00480D69" w:rsidRDefault="00480D69" w:rsidP="00480D69">
            <w:pPr>
              <w:rPr>
                <w:szCs w:val="22"/>
              </w:rPr>
            </w:pPr>
            <w:r w:rsidRPr="00480D69">
              <w:rPr>
                <w:szCs w:val="22"/>
              </w:rPr>
              <w:t>Chiba 261-8520 JAPAN</w:t>
            </w:r>
          </w:p>
          <w:p w:rsidR="00480D69" w:rsidRPr="00480D69" w:rsidRDefault="00480D69" w:rsidP="00480D69">
            <w:pPr>
              <w:rPr>
                <w:szCs w:val="22"/>
              </w:rPr>
            </w:pPr>
          </w:p>
          <w:p w:rsidR="00480D69" w:rsidRPr="00480D69" w:rsidRDefault="00480D69" w:rsidP="00480D69">
            <w:pPr>
              <w:rPr>
                <w:szCs w:val="22"/>
              </w:rPr>
            </w:pPr>
            <w:r w:rsidRPr="00480D69">
              <w:rPr>
                <w:szCs w:val="22"/>
              </w:rPr>
              <w:t>Virginie Drugeon</w:t>
            </w:r>
          </w:p>
          <w:p w:rsidR="00480D69" w:rsidRPr="00480D69" w:rsidRDefault="00480D69" w:rsidP="00480D69">
            <w:pPr>
              <w:rPr>
                <w:szCs w:val="22"/>
              </w:rPr>
            </w:pPr>
            <w:r w:rsidRPr="00480D69">
              <w:rPr>
                <w:szCs w:val="22"/>
              </w:rPr>
              <w:t>Panasonic R&amp;D Center Germany</w:t>
            </w:r>
          </w:p>
          <w:p w:rsidR="005913C2" w:rsidRDefault="00480D69" w:rsidP="009A6965">
            <w:pPr>
              <w:spacing w:before="60" w:after="60"/>
              <w:rPr>
                <w:lang w:eastAsia="ja-JP"/>
              </w:rPr>
            </w:pPr>
            <w:proofErr w:type="spellStart"/>
            <w:r w:rsidRPr="00480D69">
              <w:rPr>
                <w:szCs w:val="22"/>
              </w:rPr>
              <w:t>Monzastr</w:t>
            </w:r>
            <w:proofErr w:type="spellEnd"/>
            <w:r w:rsidRPr="00480D69">
              <w:rPr>
                <w:szCs w:val="22"/>
              </w:rPr>
              <w:t xml:space="preserve">. 4c, 63225 </w:t>
            </w:r>
            <w:proofErr w:type="spellStart"/>
            <w:r w:rsidRPr="00480D69">
              <w:rPr>
                <w:szCs w:val="22"/>
              </w:rPr>
              <w:t>Langen</w:t>
            </w:r>
            <w:proofErr w:type="spellEnd"/>
            <w:r w:rsidRPr="00480D69">
              <w:rPr>
                <w:szCs w:val="22"/>
              </w:rPr>
              <w:t>, Germany</w:t>
            </w:r>
          </w:p>
          <w:p w:rsidR="00480D69" w:rsidRPr="003E5A42" w:rsidRDefault="00480D69" w:rsidP="009A6965">
            <w:pPr>
              <w:spacing w:before="60" w:after="60"/>
              <w:rPr>
                <w:lang w:eastAsia="ja-JP"/>
              </w:rPr>
            </w:pPr>
          </w:p>
        </w:tc>
        <w:tc>
          <w:tcPr>
            <w:tcW w:w="3814" w:type="dxa"/>
          </w:tcPr>
          <w:p w:rsidR="00480D69" w:rsidRPr="00480D69" w:rsidRDefault="005913C2" w:rsidP="00480D69">
            <w:pPr>
              <w:spacing w:before="60" w:after="60"/>
              <w:rPr>
                <w:szCs w:val="22"/>
                <w:lang w:val="de-DE"/>
              </w:rPr>
            </w:pPr>
            <w:r w:rsidRPr="00C97161">
              <w:rPr>
                <w:szCs w:val="22"/>
                <w:lang w:val="de-DE"/>
              </w:rPr>
              <w:br/>
            </w:r>
            <w:r w:rsidR="00480D69" w:rsidRPr="00480D69">
              <w:rPr>
                <w:szCs w:val="22"/>
                <w:lang w:val="de-DE"/>
              </w:rPr>
              <w:t>Tel:(408) 352-4710</w:t>
            </w:r>
          </w:p>
          <w:p w:rsidR="00480D69" w:rsidRPr="00480D69" w:rsidRDefault="00480D69" w:rsidP="00480D69">
            <w:pPr>
              <w:spacing w:before="60" w:after="60"/>
              <w:rPr>
                <w:szCs w:val="22"/>
                <w:lang w:val="de-DE"/>
              </w:rPr>
            </w:pPr>
            <w:r w:rsidRPr="00480D69">
              <w:rPr>
                <w:szCs w:val="22"/>
                <w:lang w:val="de-DE"/>
              </w:rPr>
              <w:t>Email:ehsan.maani@am.sony.com</w:t>
            </w:r>
          </w:p>
          <w:p w:rsidR="00480D69" w:rsidRPr="00480D69" w:rsidRDefault="00480D69" w:rsidP="00480D69">
            <w:pPr>
              <w:spacing w:before="60" w:after="60"/>
              <w:rPr>
                <w:szCs w:val="22"/>
                <w:lang w:val="de-DE"/>
              </w:rPr>
            </w:pPr>
          </w:p>
          <w:p w:rsidR="00480D69" w:rsidRDefault="00480D69" w:rsidP="00480D69">
            <w:pPr>
              <w:spacing w:before="60" w:after="60"/>
              <w:rPr>
                <w:szCs w:val="22"/>
                <w:lang w:val="de-DE"/>
              </w:rPr>
            </w:pPr>
          </w:p>
          <w:p w:rsidR="00480D69" w:rsidRPr="00480D69" w:rsidRDefault="00480D69" w:rsidP="00480D69">
            <w:pPr>
              <w:spacing w:before="60" w:after="60"/>
              <w:rPr>
                <w:szCs w:val="22"/>
                <w:lang w:val="de-DE"/>
              </w:rPr>
            </w:pPr>
          </w:p>
          <w:p w:rsidR="00480D69" w:rsidRPr="00480D69" w:rsidRDefault="00480D69" w:rsidP="00480D69">
            <w:pPr>
              <w:spacing w:before="60" w:after="60"/>
              <w:rPr>
                <w:szCs w:val="22"/>
                <w:lang w:val="de-DE"/>
              </w:rPr>
            </w:pPr>
            <w:r w:rsidRPr="00480D69">
              <w:rPr>
                <w:szCs w:val="22"/>
                <w:lang w:val="de-DE"/>
              </w:rPr>
              <w:t>Tel:+81 -43-299-8526</w:t>
            </w:r>
          </w:p>
          <w:p w:rsidR="00480D69" w:rsidRPr="00480D69" w:rsidRDefault="00480D69" w:rsidP="00480D69">
            <w:pPr>
              <w:spacing w:before="60" w:after="60"/>
              <w:rPr>
                <w:szCs w:val="22"/>
                <w:lang w:val="de-DE"/>
              </w:rPr>
            </w:pPr>
            <w:r w:rsidRPr="00480D69">
              <w:rPr>
                <w:szCs w:val="22"/>
                <w:lang w:val="de-DE"/>
              </w:rPr>
              <w:t>Email:yamamoto.tomoyuki@sharp.co.jp</w:t>
            </w:r>
          </w:p>
          <w:p w:rsidR="00480D69" w:rsidRPr="00480D69" w:rsidRDefault="00480D69" w:rsidP="00480D69">
            <w:pPr>
              <w:spacing w:before="60" w:after="60"/>
              <w:rPr>
                <w:szCs w:val="22"/>
                <w:lang w:val="de-DE"/>
              </w:rPr>
            </w:pPr>
          </w:p>
          <w:p w:rsidR="00480D69" w:rsidRPr="00480D69" w:rsidRDefault="00480D69" w:rsidP="00480D69">
            <w:pPr>
              <w:spacing w:before="60" w:after="60"/>
              <w:rPr>
                <w:szCs w:val="22"/>
                <w:lang w:val="de-DE"/>
              </w:rPr>
            </w:pPr>
          </w:p>
          <w:p w:rsidR="00480D69" w:rsidRPr="00480D69" w:rsidRDefault="00480D69" w:rsidP="00480D69">
            <w:pPr>
              <w:spacing w:before="60" w:after="60"/>
              <w:rPr>
                <w:szCs w:val="22"/>
                <w:lang w:val="de-DE"/>
              </w:rPr>
            </w:pPr>
            <w:r w:rsidRPr="00480D69">
              <w:rPr>
                <w:szCs w:val="22"/>
                <w:lang w:val="de-DE"/>
              </w:rPr>
              <w:t>Tel:+49 6103 766-240</w:t>
            </w:r>
          </w:p>
          <w:p w:rsidR="005913C2" w:rsidRPr="00C97161" w:rsidRDefault="00480D69" w:rsidP="00480D69">
            <w:pPr>
              <w:spacing w:before="60" w:after="60"/>
              <w:rPr>
                <w:szCs w:val="22"/>
                <w:lang w:val="de-DE" w:eastAsia="ja-JP"/>
              </w:rPr>
            </w:pPr>
            <w:r w:rsidRPr="00480D69">
              <w:rPr>
                <w:szCs w:val="22"/>
                <w:lang w:val="de-DE"/>
              </w:rPr>
              <w:t>Email:virginie.drugeon@eu.panasonic.com</w:t>
            </w:r>
          </w:p>
        </w:tc>
        <w:tc>
          <w:tcPr>
            <w:tcW w:w="284" w:type="dxa"/>
          </w:tcPr>
          <w:p w:rsidR="005913C2" w:rsidRPr="00C97161" w:rsidRDefault="005913C2" w:rsidP="00A86824">
            <w:pPr>
              <w:spacing w:before="60" w:after="60"/>
              <w:rPr>
                <w:szCs w:val="22"/>
                <w:lang w:val="de-DE"/>
              </w:rPr>
            </w:pPr>
            <w:r w:rsidRPr="00C97161">
              <w:rPr>
                <w:szCs w:val="22"/>
                <w:lang w:val="de-DE"/>
              </w:rPr>
              <w:br/>
            </w:r>
            <w:r w:rsidRPr="00C97161">
              <w:rPr>
                <w:szCs w:val="22"/>
                <w:lang w:val="de-DE"/>
              </w:rPr>
              <w:br/>
            </w:r>
          </w:p>
        </w:tc>
      </w:tr>
      <w:tr w:rsidR="005913C2" w:rsidRPr="003E5A42" w:rsidTr="00AE6140">
        <w:tc>
          <w:tcPr>
            <w:tcW w:w="1458" w:type="dxa"/>
          </w:tcPr>
          <w:p w:rsidR="005913C2" w:rsidRPr="003E5A42" w:rsidRDefault="005913C2">
            <w:pPr>
              <w:spacing w:before="60" w:after="60"/>
              <w:rPr>
                <w:i/>
                <w:szCs w:val="22"/>
              </w:rPr>
            </w:pPr>
            <w:r w:rsidRPr="003E5A42">
              <w:rPr>
                <w:i/>
                <w:szCs w:val="22"/>
              </w:rPr>
              <w:t>Source:</w:t>
            </w:r>
          </w:p>
        </w:tc>
        <w:tc>
          <w:tcPr>
            <w:tcW w:w="8148" w:type="dxa"/>
            <w:gridSpan w:val="3"/>
          </w:tcPr>
          <w:p w:rsidR="005913C2" w:rsidRPr="003E5A42" w:rsidRDefault="005913C2">
            <w:pPr>
              <w:spacing w:before="60" w:after="60"/>
              <w:rPr>
                <w:szCs w:val="22"/>
                <w:lang w:eastAsia="ja-JP"/>
              </w:rPr>
            </w:pPr>
            <w:r w:rsidRPr="003E5A42">
              <w:rPr>
                <w:szCs w:val="22"/>
              </w:rPr>
              <w:t>Sony Corporation</w:t>
            </w:r>
            <w:r w:rsidR="00480D69">
              <w:rPr>
                <w:szCs w:val="22"/>
                <w:lang w:eastAsia="ja-JP"/>
              </w:rPr>
              <w:t>,</w:t>
            </w:r>
            <w:r w:rsidRPr="003E5A42">
              <w:rPr>
                <w:szCs w:val="22"/>
                <w:lang w:eastAsia="ja-JP"/>
              </w:rPr>
              <w:t xml:space="preserve"> SHARP Corporation</w:t>
            </w:r>
            <w:r w:rsidR="00480D69">
              <w:rPr>
                <w:szCs w:val="22"/>
                <w:lang w:eastAsia="ja-JP"/>
              </w:rPr>
              <w:t xml:space="preserve"> and Panasonic</w:t>
            </w:r>
          </w:p>
        </w:tc>
      </w:tr>
    </w:tbl>
    <w:p w:rsidR="005913C2" w:rsidRPr="00AE341B" w:rsidRDefault="005913C2">
      <w:pPr>
        <w:tabs>
          <w:tab w:val="left" w:pos="1800"/>
          <w:tab w:val="right" w:pos="9360"/>
        </w:tabs>
        <w:spacing w:before="120" w:after="240"/>
        <w:jc w:val="center"/>
        <w:rPr>
          <w:szCs w:val="22"/>
        </w:rPr>
      </w:pPr>
      <w:r w:rsidRPr="00AE341B">
        <w:rPr>
          <w:szCs w:val="22"/>
          <w:u w:val="single"/>
        </w:rPr>
        <w:t>_____________________________</w:t>
      </w:r>
    </w:p>
    <w:p w:rsidR="005913C2" w:rsidRDefault="005913C2" w:rsidP="009234A5">
      <w:pPr>
        <w:pStyle w:val="Heading1"/>
        <w:numPr>
          <w:ilvl w:val="0"/>
          <w:numId w:val="0"/>
        </w:numPr>
        <w:ind w:left="432" w:hanging="432"/>
      </w:pPr>
      <w:r w:rsidRPr="002B191D">
        <w:t>Abstract</w:t>
      </w:r>
    </w:p>
    <w:p w:rsidR="005913C2" w:rsidRPr="00E7689D" w:rsidRDefault="005913C2" w:rsidP="00F7382D">
      <w:pPr>
        <w:jc w:val="both"/>
      </w:pPr>
      <w:r>
        <w:rPr>
          <w:szCs w:val="22"/>
          <w:lang w:eastAsia="ja-JP"/>
        </w:rPr>
        <w:t xml:space="preserve">In this contribution, we present a summary of DCIM’s Core Experiment (CE) results, its enhancements, and visual quality evaluation. Moreover, we present the results of additional experiments that demonstrate when DCIM is </w:t>
      </w:r>
      <w:proofErr w:type="gramStart"/>
      <w:r>
        <w:rPr>
          <w:szCs w:val="22"/>
          <w:lang w:eastAsia="ja-JP"/>
        </w:rPr>
        <w:t>used,</w:t>
      </w:r>
      <w:proofErr w:type="gramEnd"/>
      <w:r>
        <w:rPr>
          <w:szCs w:val="22"/>
          <w:lang w:eastAsia="ja-JP"/>
        </w:rPr>
        <w:t xml:space="preserve"> the maximum number of Unified Intra (UI) directions can be safely reduced from 34 to 17 with a slight improvement of average coding efficiency. More precisely, these experiments show that using 17 Intra directions with DCIM performs, on average, 2.3% and 2.6% better than the HM anchors with 34 Intra directions. </w:t>
      </w:r>
    </w:p>
    <w:p w:rsidR="005913C2" w:rsidRPr="00AE341B" w:rsidRDefault="005913C2" w:rsidP="00380634">
      <w:pPr>
        <w:pStyle w:val="Heading1"/>
        <w:jc w:val="both"/>
      </w:pPr>
      <w:r>
        <w:t>Objective evaluation</w:t>
      </w:r>
    </w:p>
    <w:p w:rsidR="005913C2" w:rsidRDefault="00A622DF" w:rsidP="0072591E">
      <w:pPr>
        <w:jc w:val="both"/>
        <w:rPr>
          <w:lang w:eastAsia="ja-JP"/>
        </w:rPr>
      </w:pPr>
      <w:r>
        <w:rPr>
          <w:lang w:eastAsia="ja-JP"/>
        </w:rPr>
        <w:fldChar w:fldCharType="begin"/>
      </w:r>
      <w:r w:rsidR="005913C2">
        <w:rPr>
          <w:lang w:eastAsia="ja-JP"/>
        </w:rPr>
        <w:instrText xml:space="preserve"> REF _Ref282718648 \h </w:instrText>
      </w:r>
      <w:r>
        <w:rPr>
          <w:lang w:eastAsia="ja-JP"/>
        </w:rPr>
      </w:r>
      <w:r>
        <w:rPr>
          <w:lang w:eastAsia="ja-JP"/>
        </w:rPr>
        <w:fldChar w:fldCharType="separate"/>
      </w:r>
      <w:r w:rsidR="005913C2">
        <w:t xml:space="preserve">Table </w:t>
      </w:r>
      <w:r w:rsidR="005913C2">
        <w:rPr>
          <w:noProof/>
        </w:rPr>
        <w:t>1</w:t>
      </w:r>
      <w:r>
        <w:rPr>
          <w:lang w:eastAsia="ja-JP"/>
        </w:rPr>
        <w:fldChar w:fldCharType="end"/>
      </w:r>
      <w:r w:rsidR="005913C2">
        <w:rPr>
          <w:lang w:eastAsia="ja-JP"/>
        </w:rPr>
        <w:t xml:space="preserve"> shows the average BD rates of the original DCIM algorithm for each class as appeared in [</w:t>
      </w:r>
      <w:r w:rsidR="00F24A55">
        <w:rPr>
          <w:lang w:eastAsia="ja-JP"/>
        </w:rPr>
        <w:t>2</w:t>
      </w:r>
      <w:r w:rsidR="005913C2">
        <w:rPr>
          <w:lang w:eastAsia="ja-JP"/>
        </w:rPr>
        <w:t>]. The accompanied Excel Sheet also contains information for the performance of DCIM for each individual sequence. These results illustrate that DCIM is extremely effective with video signals which contain a lot of strong edges such as computer generated graphics or sequences like “Foreman” or “</w:t>
      </w:r>
      <w:proofErr w:type="spellStart"/>
      <w:r w:rsidR="005913C2">
        <w:rPr>
          <w:lang w:eastAsia="ja-JP"/>
        </w:rPr>
        <w:t>BasketballDrill</w:t>
      </w:r>
      <w:proofErr w:type="spellEnd"/>
      <w:r w:rsidR="005913C2">
        <w:rPr>
          <w:lang w:eastAsia="ja-JP"/>
        </w:rPr>
        <w:t>”. For example DCIM achieves 4.9% and 6.6% gain for the “</w:t>
      </w:r>
      <w:proofErr w:type="spellStart"/>
      <w:r w:rsidR="005913C2">
        <w:rPr>
          <w:lang w:eastAsia="ja-JP"/>
        </w:rPr>
        <w:t>BasketballDrill</w:t>
      </w:r>
      <w:proofErr w:type="spellEnd"/>
      <w:r w:rsidR="005913C2">
        <w:rPr>
          <w:lang w:eastAsia="ja-JP"/>
        </w:rPr>
        <w:t xml:space="preserve">” sequence. </w:t>
      </w:r>
    </w:p>
    <w:p w:rsidR="005913C2" w:rsidRDefault="005913C2" w:rsidP="0072591E">
      <w:pPr>
        <w:jc w:val="both"/>
        <w:rPr>
          <w:lang w:eastAsia="ja-JP"/>
        </w:rPr>
      </w:pPr>
    </w:p>
    <w:p w:rsidR="005913C2" w:rsidRDefault="005913C2" w:rsidP="007C5759">
      <w:pPr>
        <w:pStyle w:val="Caption"/>
        <w:keepNext/>
      </w:pPr>
      <w:proofErr w:type="gramStart"/>
      <w:r>
        <w:t xml:space="preserve">Table </w:t>
      </w:r>
      <w:r w:rsidR="00A622DF">
        <w:fldChar w:fldCharType="begin"/>
      </w:r>
      <w:r w:rsidR="00A622DF">
        <w:instrText xml:space="preserve"> SEQ Table \* ARABIC </w:instrText>
      </w:r>
      <w:r w:rsidR="00A622DF">
        <w:fldChar w:fldCharType="separate"/>
      </w:r>
      <w:r>
        <w:rPr>
          <w:noProof/>
        </w:rPr>
        <w:t>1</w:t>
      </w:r>
      <w:r w:rsidR="00A622DF">
        <w:fldChar w:fldCharType="end"/>
      </w:r>
      <w:r>
        <w:t>.</w:t>
      </w:r>
      <w:proofErr w:type="gramEnd"/>
      <w:r>
        <w:t xml:space="preserve"> Summary of DCIM results compared to HM Anchors.</w:t>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05"/>
        <w:gridCol w:w="1281"/>
        <w:gridCol w:w="1282"/>
        <w:gridCol w:w="1282"/>
        <w:gridCol w:w="1282"/>
        <w:gridCol w:w="1282"/>
        <w:gridCol w:w="1282"/>
      </w:tblGrid>
      <w:tr w:rsidR="005913C2" w:rsidRPr="003E5A42" w:rsidTr="001D7542">
        <w:trPr>
          <w:cantSplit/>
          <w:trHeight w:hRule="exact" w:val="346"/>
          <w:jc w:val="center"/>
        </w:trPr>
        <w:tc>
          <w:tcPr>
            <w:tcW w:w="1505" w:type="dxa"/>
            <w:vMerge w:val="restart"/>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3845"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w:t>
            </w:r>
          </w:p>
        </w:tc>
        <w:tc>
          <w:tcPr>
            <w:tcW w:w="384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 LoCo</w:t>
            </w:r>
          </w:p>
        </w:tc>
      </w:tr>
      <w:tr w:rsidR="005913C2" w:rsidRPr="003E5A42" w:rsidTr="001D7542">
        <w:trPr>
          <w:cantSplit/>
          <w:trHeight w:hRule="exact" w:val="346"/>
          <w:jc w:val="center"/>
        </w:trPr>
        <w:tc>
          <w:tcPr>
            <w:tcW w:w="1505" w:type="dxa"/>
            <w:vMerge/>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81"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A</w:t>
            </w:r>
          </w:p>
        </w:tc>
        <w:tc>
          <w:tcPr>
            <w:tcW w:w="1281" w:type="dxa"/>
            <w:noWrap/>
            <w:vAlign w:val="center"/>
          </w:tcPr>
          <w:p w:rsidR="005913C2" w:rsidRPr="003E5A42" w:rsidRDefault="005913C2" w:rsidP="009473E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1.7</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0.6</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0.3</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0.4</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B</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1.2</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2.2</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1.9</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lastRenderedPageBreak/>
              <w:t>Class C</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2.4</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1.2</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2.9</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1.9</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2.0</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D</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0.4</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0.3</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1.0</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E</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3.1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2.2</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-1.9</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3.1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1.7</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All</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1.0</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2.3</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1.4</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r>
      <w:tr w:rsidR="001D7542" w:rsidRPr="003E5A42" w:rsidTr="001D7542">
        <w:trPr>
          <w:cantSplit/>
          <w:trHeight w:hRule="exact" w:val="346"/>
          <w:jc w:val="center"/>
        </w:trPr>
        <w:tc>
          <w:tcPr>
            <w:tcW w:w="1505" w:type="dxa"/>
            <w:noWrap/>
            <w:vAlign w:val="center"/>
          </w:tcPr>
          <w:p w:rsidR="001D7542" w:rsidRPr="003E5A42" w:rsidRDefault="001D754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Enc Time[%]</w:t>
            </w:r>
          </w:p>
        </w:tc>
        <w:tc>
          <w:tcPr>
            <w:tcW w:w="3845" w:type="dxa"/>
            <w:gridSpan w:val="3"/>
            <w:noWrap/>
          </w:tcPr>
          <w:p w:rsidR="001D7542" w:rsidRPr="005728DE" w:rsidRDefault="001D7542" w:rsidP="005A61A8">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108%</w:t>
            </w:r>
          </w:p>
        </w:tc>
        <w:tc>
          <w:tcPr>
            <w:tcW w:w="3846" w:type="dxa"/>
            <w:gridSpan w:val="3"/>
            <w:noWrap/>
          </w:tcPr>
          <w:p w:rsidR="001D7542" w:rsidRPr="005728DE" w:rsidRDefault="001D7542" w:rsidP="005A61A8">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115%</w:t>
            </w:r>
          </w:p>
        </w:tc>
      </w:tr>
      <w:tr w:rsidR="001D7542" w:rsidRPr="003E5A42" w:rsidTr="001D7542">
        <w:trPr>
          <w:cantSplit/>
          <w:trHeight w:hRule="exact" w:val="346"/>
          <w:jc w:val="center"/>
        </w:trPr>
        <w:tc>
          <w:tcPr>
            <w:tcW w:w="1505" w:type="dxa"/>
            <w:noWrap/>
            <w:vAlign w:val="center"/>
          </w:tcPr>
          <w:p w:rsidR="001D7542" w:rsidRPr="003E5A42" w:rsidRDefault="001D754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Dec Time[%]</w:t>
            </w:r>
          </w:p>
        </w:tc>
        <w:tc>
          <w:tcPr>
            <w:tcW w:w="3845" w:type="dxa"/>
            <w:gridSpan w:val="3"/>
            <w:noWrap/>
          </w:tcPr>
          <w:p w:rsidR="001D7542" w:rsidRPr="005728DE" w:rsidRDefault="00F24A55" w:rsidP="00F24A55">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w:t>
            </w:r>
            <w:r>
              <w:rPr>
                <w:rFonts w:asciiTheme="minorHAnsi" w:hAnsiTheme="minorHAnsi" w:cstheme="minorHAnsi"/>
                <w:szCs w:val="22"/>
              </w:rPr>
              <w:t>6</w:t>
            </w:r>
            <w:r w:rsidR="001D7542" w:rsidRPr="005728DE">
              <w:rPr>
                <w:rFonts w:asciiTheme="minorHAnsi" w:hAnsiTheme="minorHAnsi" w:cstheme="minorHAnsi"/>
                <w:szCs w:val="22"/>
              </w:rPr>
              <w:t>%</w:t>
            </w:r>
          </w:p>
        </w:tc>
        <w:tc>
          <w:tcPr>
            <w:tcW w:w="3846" w:type="dxa"/>
            <w:gridSpan w:val="3"/>
            <w:noWrap/>
          </w:tcPr>
          <w:p w:rsidR="001D7542" w:rsidRPr="005728DE" w:rsidRDefault="00F24A55" w:rsidP="00F24A55">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r>
              <w:rPr>
                <w:rFonts w:asciiTheme="minorHAnsi" w:hAnsiTheme="minorHAnsi" w:cstheme="minorHAnsi"/>
                <w:szCs w:val="22"/>
              </w:rPr>
              <w:t>9</w:t>
            </w:r>
            <w:r w:rsidR="001D7542" w:rsidRPr="005728DE">
              <w:rPr>
                <w:rFonts w:asciiTheme="minorHAnsi" w:hAnsiTheme="minorHAnsi" w:cstheme="minorHAnsi"/>
                <w:szCs w:val="22"/>
              </w:rPr>
              <w:t>%</w:t>
            </w:r>
          </w:p>
        </w:tc>
      </w:tr>
    </w:tbl>
    <w:p w:rsidR="005913C2" w:rsidRDefault="005913C2" w:rsidP="0072591E">
      <w:pPr>
        <w:jc w:val="both"/>
        <w:rPr>
          <w:lang w:eastAsia="ja-JP"/>
        </w:rPr>
      </w:pPr>
    </w:p>
    <w:p w:rsidR="005913C2" w:rsidRDefault="005913C2" w:rsidP="0072591E">
      <w:pPr>
        <w:jc w:val="both"/>
        <w:rPr>
          <w:lang w:eastAsia="ja-JP"/>
        </w:rPr>
      </w:pPr>
      <w:r>
        <w:rPr>
          <w:lang w:eastAsia="ja-JP"/>
        </w:rPr>
        <w:t xml:space="preserve">The results shown in the above table have all been cross-verified with perfect match by Panasonic, NEC and NHK in </w:t>
      </w:r>
      <w:r w:rsidRPr="002D7183">
        <w:rPr>
          <w:lang w:eastAsia="ja-JP"/>
        </w:rPr>
        <w:t>submissions [2,</w:t>
      </w:r>
      <w:r>
        <w:rPr>
          <w:lang w:eastAsia="ja-JP"/>
        </w:rPr>
        <w:t xml:space="preserve"> </w:t>
      </w:r>
      <w:r w:rsidRPr="002D7183">
        <w:rPr>
          <w:lang w:eastAsia="ja-JP"/>
        </w:rPr>
        <w:t>3,</w:t>
      </w:r>
      <w:r>
        <w:rPr>
          <w:lang w:eastAsia="ja-JP"/>
        </w:rPr>
        <w:t xml:space="preserve"> </w:t>
      </w:r>
      <w:proofErr w:type="gramStart"/>
      <w:r w:rsidRPr="002D7183">
        <w:rPr>
          <w:lang w:eastAsia="ja-JP"/>
        </w:rPr>
        <w:t>4</w:t>
      </w:r>
      <w:proofErr w:type="gramEnd"/>
      <w:r w:rsidRPr="002D7183">
        <w:rPr>
          <w:lang w:eastAsia="ja-JP"/>
        </w:rPr>
        <w:t>].</w:t>
      </w:r>
    </w:p>
    <w:p w:rsidR="005913C2" w:rsidRDefault="005913C2" w:rsidP="0072591E">
      <w:pPr>
        <w:jc w:val="both"/>
        <w:rPr>
          <w:lang w:eastAsia="ja-JP"/>
        </w:rPr>
      </w:pPr>
      <w:r>
        <w:rPr>
          <w:lang w:eastAsia="ja-JP"/>
        </w:rPr>
        <w:t xml:space="preserve">On top of the original DCIM proposal which was used in CE, two modifications are introduced in consideration of the relationship between DCIM and UI. The first modification is the change of the number of UI modes. Specifically, the number of applicable UI modes for 8x8, 16x16, and 32x32 PU is reduced from 34 to 17. With this modification, encoding time can be reduced by about 4% while achieving similar coding efficiency. The second modification is related to MPM. DC mode is always used as MPM instead of doing prediction using neighboring UI modes. With this modification, about 0.2% BD-rate gain can be achieved without any impact on encoder/decoder complexity. </w:t>
      </w:r>
      <w:r w:rsidR="00997E30">
        <w:rPr>
          <w:rFonts w:hint="eastAsia"/>
          <w:lang w:eastAsia="ja-JP"/>
        </w:rPr>
        <w:t xml:space="preserve">More information </w:t>
      </w:r>
      <w:proofErr w:type="spellStart"/>
      <w:r w:rsidR="001D7542">
        <w:rPr>
          <w:lang w:eastAsia="ja-JP"/>
        </w:rPr>
        <w:t>on</w:t>
      </w:r>
      <w:r w:rsidR="00997E30">
        <w:rPr>
          <w:rFonts w:hint="eastAsia"/>
          <w:lang w:eastAsia="ja-JP"/>
        </w:rPr>
        <w:t>the</w:t>
      </w:r>
      <w:proofErr w:type="spellEnd"/>
      <w:r w:rsidR="00997E30">
        <w:rPr>
          <w:rFonts w:hint="eastAsia"/>
          <w:lang w:eastAsia="ja-JP"/>
        </w:rPr>
        <w:t xml:space="preserve"> MPM </w:t>
      </w:r>
      <w:proofErr w:type="spellStart"/>
      <w:r w:rsidR="00C37098">
        <w:rPr>
          <w:lang w:eastAsia="ja-JP"/>
        </w:rPr>
        <w:t>modification</w:t>
      </w:r>
      <w:r w:rsidR="00997E30">
        <w:rPr>
          <w:rFonts w:hint="eastAsia"/>
          <w:lang w:eastAsia="ja-JP"/>
        </w:rPr>
        <w:t>can</w:t>
      </w:r>
      <w:proofErr w:type="spellEnd"/>
      <w:r w:rsidR="00997E30">
        <w:rPr>
          <w:rFonts w:hint="eastAsia"/>
          <w:lang w:eastAsia="ja-JP"/>
        </w:rPr>
        <w:t xml:space="preserve"> be found in [5]. </w:t>
      </w:r>
      <w:r>
        <w:rPr>
          <w:lang w:eastAsia="ja-JP"/>
        </w:rPr>
        <w:t xml:space="preserve">The results of DCIM with the aforementioned modifications, under the same conditions as in CE [2], are presented in </w:t>
      </w:r>
      <w:r w:rsidR="00A622DF">
        <w:rPr>
          <w:lang w:eastAsia="ja-JP"/>
        </w:rPr>
        <w:fldChar w:fldCharType="begin"/>
      </w:r>
      <w:r>
        <w:rPr>
          <w:lang w:eastAsia="ja-JP"/>
        </w:rPr>
        <w:instrText xml:space="preserve"> REF _Ref282721072 \h </w:instrText>
      </w:r>
      <w:r w:rsidR="00A622DF">
        <w:rPr>
          <w:lang w:eastAsia="ja-JP"/>
        </w:rPr>
      </w:r>
      <w:r w:rsidR="00A622DF">
        <w:rPr>
          <w:lang w:eastAsia="ja-JP"/>
        </w:rPr>
        <w:fldChar w:fldCharType="separate"/>
      </w:r>
      <w:r>
        <w:t xml:space="preserve">Table </w:t>
      </w:r>
      <w:r>
        <w:rPr>
          <w:noProof/>
        </w:rPr>
        <w:t>2</w:t>
      </w:r>
      <w:r w:rsidR="00A622DF">
        <w:rPr>
          <w:lang w:eastAsia="ja-JP"/>
        </w:rPr>
        <w:fldChar w:fldCharType="end"/>
      </w:r>
      <w:r>
        <w:rPr>
          <w:lang w:eastAsia="ja-JP"/>
        </w:rPr>
        <w:t>.</w:t>
      </w:r>
    </w:p>
    <w:p w:rsidR="005913C2" w:rsidRDefault="005913C2" w:rsidP="00DB10D4">
      <w:pPr>
        <w:pStyle w:val="Caption"/>
        <w:keepNext/>
        <w:jc w:val="center"/>
      </w:pPr>
      <w:bookmarkStart w:id="0" w:name="_Ref282721072"/>
      <w:proofErr w:type="gramStart"/>
      <w:r>
        <w:t xml:space="preserve">Table </w:t>
      </w:r>
      <w:r w:rsidR="00A622DF">
        <w:fldChar w:fldCharType="begin"/>
      </w:r>
      <w:r w:rsidR="00A622DF">
        <w:instrText xml:space="preserve"> SEQ Table \* ARABIC </w:instrText>
      </w:r>
      <w:r w:rsidR="00A622DF">
        <w:fldChar w:fldCharType="separate"/>
      </w:r>
      <w:r>
        <w:rPr>
          <w:noProof/>
        </w:rPr>
        <w:t>2</w:t>
      </w:r>
      <w:r w:rsidR="00A622DF">
        <w:fldChar w:fldCharType="end"/>
      </w:r>
      <w:bookmarkEnd w:id="0"/>
      <w:r>
        <w:t>.</w:t>
      </w:r>
      <w:proofErr w:type="gramEnd"/>
      <w:r>
        <w:t xml:space="preserve"> Summary of improved DCIM results with 17 UI modes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38"/>
        <w:gridCol w:w="1296"/>
        <w:gridCol w:w="1296"/>
        <w:gridCol w:w="1296"/>
        <w:gridCol w:w="1296"/>
        <w:gridCol w:w="1296"/>
        <w:gridCol w:w="1296"/>
      </w:tblGrid>
      <w:tr w:rsidR="005913C2" w:rsidRPr="003E5A42" w:rsidTr="003E5A42">
        <w:trPr>
          <w:cantSplit/>
          <w:trHeight w:hRule="exact" w:val="346"/>
          <w:jc w:val="center"/>
        </w:trPr>
        <w:tc>
          <w:tcPr>
            <w:tcW w:w="1638" w:type="dxa"/>
            <w:vMerge w:val="restart"/>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 LoCo</w:t>
            </w:r>
          </w:p>
        </w:tc>
      </w:tr>
      <w:tr w:rsidR="005913C2" w:rsidRPr="003E5A42" w:rsidTr="003E5A42">
        <w:trPr>
          <w:cantSplit/>
          <w:trHeight w:hRule="exact" w:val="346"/>
          <w:jc w:val="center"/>
        </w:trPr>
        <w:tc>
          <w:tcPr>
            <w:tcW w:w="1638" w:type="dxa"/>
            <w:vMerge/>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A</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-0.6</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B</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C</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-2.1</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-2.2</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D</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-1.4</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-3.2</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All</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-1.7</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Enc Time[%]</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Dec Time[%]</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117%</w:t>
            </w:r>
          </w:p>
        </w:tc>
      </w:tr>
    </w:tbl>
    <w:p w:rsidR="005913C2" w:rsidRPr="00E7689D" w:rsidRDefault="005913C2" w:rsidP="0072591E">
      <w:pPr>
        <w:jc w:val="both"/>
        <w:rPr>
          <w:lang w:eastAsia="ja-JP"/>
        </w:rPr>
      </w:pPr>
    </w:p>
    <w:p w:rsidR="005913C2" w:rsidRPr="00940593" w:rsidRDefault="005913C2" w:rsidP="00954FCF">
      <w:pPr>
        <w:jc w:val="both"/>
        <w:rPr>
          <w:lang w:eastAsia="ja-JP"/>
        </w:rPr>
      </w:pPr>
      <w:r w:rsidRPr="00940593">
        <w:rPr>
          <w:lang w:eastAsia="ja-JP"/>
        </w:rPr>
        <w:t xml:space="preserve">In addition to HEVC standard sequences, NHK performed DCIM test on two Super Hi-Vision (SHV) sequences namely Nebuta and </w:t>
      </w:r>
      <w:r>
        <w:rPr>
          <w:lang w:eastAsia="ja-JP"/>
        </w:rPr>
        <w:t xml:space="preserve">SL [3, 7, </w:t>
      </w:r>
      <w:proofErr w:type="gramStart"/>
      <w:r>
        <w:rPr>
          <w:lang w:eastAsia="ja-JP"/>
        </w:rPr>
        <w:t>8</w:t>
      </w:r>
      <w:proofErr w:type="gramEnd"/>
      <w:r w:rsidRPr="00027437">
        <w:rPr>
          <w:lang w:eastAsia="ja-JP"/>
        </w:rPr>
        <w:t>]. The</w:t>
      </w:r>
      <w:r w:rsidRPr="00940593">
        <w:rPr>
          <w:lang w:eastAsia="ja-JP"/>
        </w:rPr>
        <w:t xml:space="preserve"> results have been cross-verified with complete match by </w:t>
      </w:r>
      <w:r w:rsidRPr="002D7183">
        <w:rPr>
          <w:lang w:eastAsia="ja-JP"/>
        </w:rPr>
        <w:t>Sharp.</w:t>
      </w:r>
      <w:r>
        <w:rPr>
          <w:lang w:eastAsia="ja-JP"/>
        </w:rPr>
        <w:t xml:space="preserve"> </w:t>
      </w:r>
      <w:r w:rsidRPr="00940593">
        <w:rPr>
          <w:lang w:eastAsia="ja-JP"/>
        </w:rPr>
        <w:t>Table 3 below shows the summary of the results for the</w:t>
      </w:r>
      <w:r w:rsidR="001D7542">
        <w:rPr>
          <w:lang w:eastAsia="ja-JP"/>
        </w:rPr>
        <w:t xml:space="preserve">se </w:t>
      </w:r>
      <w:r w:rsidRPr="00940593">
        <w:rPr>
          <w:lang w:eastAsia="ja-JP"/>
        </w:rPr>
        <w:t>additional test sequences.</w:t>
      </w:r>
    </w:p>
    <w:p w:rsidR="005913C2" w:rsidRPr="00940593" w:rsidRDefault="005913C2" w:rsidP="00C97161">
      <w:pPr>
        <w:pStyle w:val="Caption"/>
        <w:keepNext/>
      </w:pPr>
      <w:proofErr w:type="gramStart"/>
      <w:r w:rsidRPr="00940593">
        <w:t>Table 3.</w:t>
      </w:r>
      <w:proofErr w:type="gramEnd"/>
      <w:r w:rsidRPr="00940593">
        <w:t xml:space="preserve"> Summary of improved DCIM results with 17 UI modes f</w:t>
      </w:r>
      <w:r>
        <w:t xml:space="preserve">or SHV sequences </w:t>
      </w:r>
      <w:proofErr w:type="spellStart"/>
      <w:r>
        <w:t>Nebuat</w:t>
      </w:r>
      <w:proofErr w:type="spellEnd"/>
      <w:r>
        <w:t xml:space="preserve"> and SL </w:t>
      </w:r>
      <w:r w:rsidRPr="00C97161">
        <w:t>(NHK results)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14"/>
        <w:gridCol w:w="1474"/>
        <w:gridCol w:w="1350"/>
        <w:gridCol w:w="1260"/>
        <w:gridCol w:w="1260"/>
        <w:gridCol w:w="1260"/>
        <w:gridCol w:w="1350"/>
      </w:tblGrid>
      <w:tr w:rsidR="005913C2" w:rsidRPr="003E5A42" w:rsidTr="00C97161">
        <w:trPr>
          <w:trHeight w:val="280"/>
        </w:trPr>
        <w:tc>
          <w:tcPr>
            <w:tcW w:w="1514" w:type="dxa"/>
            <w:vMerge w:val="restart"/>
            <w:noWrap/>
          </w:tcPr>
          <w:p w:rsidR="005913C2" w:rsidRPr="003E5A42" w:rsidRDefault="005913C2" w:rsidP="003E5A42">
            <w:pPr>
              <w:jc w:val="both"/>
              <w:rPr>
                <w:lang w:eastAsia="ja-JP"/>
              </w:rPr>
            </w:pPr>
            <w:r w:rsidRPr="003E5A42">
              <w:rPr>
                <w:lang w:eastAsia="ja-JP"/>
              </w:rPr>
              <w:t> </w:t>
            </w:r>
          </w:p>
        </w:tc>
        <w:tc>
          <w:tcPr>
            <w:tcW w:w="4084" w:type="dxa"/>
            <w:gridSpan w:val="3"/>
            <w:noWrap/>
          </w:tcPr>
          <w:p w:rsidR="005913C2" w:rsidRPr="003E5A42" w:rsidRDefault="005913C2" w:rsidP="00C97161">
            <w:pPr>
              <w:jc w:val="center"/>
              <w:rPr>
                <w:lang w:eastAsia="ja-JP"/>
              </w:rPr>
            </w:pPr>
            <w:r w:rsidRPr="003E5A42">
              <w:rPr>
                <w:lang w:eastAsia="ja-JP"/>
              </w:rPr>
              <w:t>Intra</w:t>
            </w:r>
          </w:p>
        </w:tc>
        <w:tc>
          <w:tcPr>
            <w:tcW w:w="3870" w:type="dxa"/>
            <w:gridSpan w:val="3"/>
            <w:noWrap/>
          </w:tcPr>
          <w:p w:rsidR="005913C2" w:rsidRPr="003E5A42" w:rsidRDefault="005913C2" w:rsidP="00C97161">
            <w:pPr>
              <w:jc w:val="center"/>
              <w:rPr>
                <w:lang w:eastAsia="ja-JP"/>
              </w:rPr>
            </w:pPr>
            <w:r w:rsidRPr="003E5A42">
              <w:rPr>
                <w:lang w:eastAsia="ja-JP"/>
              </w:rPr>
              <w:t>Intra LoCo</w:t>
            </w:r>
          </w:p>
        </w:tc>
      </w:tr>
      <w:tr w:rsidR="005913C2" w:rsidRPr="003E5A42" w:rsidTr="00C97161">
        <w:trPr>
          <w:trHeight w:val="280"/>
        </w:trPr>
        <w:tc>
          <w:tcPr>
            <w:tcW w:w="1514" w:type="dxa"/>
            <w:vMerge/>
          </w:tcPr>
          <w:p w:rsidR="005913C2" w:rsidRPr="003E5A42" w:rsidRDefault="005913C2" w:rsidP="003E5A42">
            <w:pPr>
              <w:jc w:val="both"/>
              <w:rPr>
                <w:lang w:eastAsia="ja-JP"/>
              </w:rPr>
            </w:pPr>
          </w:p>
        </w:tc>
        <w:tc>
          <w:tcPr>
            <w:tcW w:w="1474" w:type="dxa"/>
            <w:noWrap/>
          </w:tcPr>
          <w:p w:rsidR="005913C2" w:rsidRPr="003E5A42" w:rsidRDefault="005913C2" w:rsidP="00C97161">
            <w:pPr>
              <w:jc w:val="center"/>
              <w:rPr>
                <w:lang w:eastAsia="ja-JP"/>
              </w:rPr>
            </w:pPr>
            <w:r w:rsidRPr="003E5A42">
              <w:rPr>
                <w:lang w:eastAsia="ja-JP"/>
              </w:rPr>
              <w:t>Y BD-rate</w:t>
            </w:r>
          </w:p>
        </w:tc>
        <w:tc>
          <w:tcPr>
            <w:tcW w:w="1350" w:type="dxa"/>
            <w:noWrap/>
          </w:tcPr>
          <w:p w:rsidR="005913C2" w:rsidRPr="003E5A42" w:rsidRDefault="005913C2" w:rsidP="00C97161">
            <w:pPr>
              <w:jc w:val="center"/>
              <w:rPr>
                <w:lang w:eastAsia="ja-JP"/>
              </w:rPr>
            </w:pPr>
            <w:r w:rsidRPr="003E5A42">
              <w:rPr>
                <w:lang w:eastAsia="ja-JP"/>
              </w:rPr>
              <w:t>U BD-rate</w:t>
            </w:r>
          </w:p>
        </w:tc>
        <w:tc>
          <w:tcPr>
            <w:tcW w:w="1260" w:type="dxa"/>
            <w:noWrap/>
          </w:tcPr>
          <w:p w:rsidR="005913C2" w:rsidRPr="003E5A42" w:rsidRDefault="005913C2" w:rsidP="00C97161">
            <w:pPr>
              <w:jc w:val="center"/>
              <w:rPr>
                <w:lang w:eastAsia="ja-JP"/>
              </w:rPr>
            </w:pPr>
            <w:r w:rsidRPr="003E5A42">
              <w:rPr>
                <w:lang w:eastAsia="ja-JP"/>
              </w:rPr>
              <w:t>V BD-rate</w:t>
            </w:r>
          </w:p>
        </w:tc>
        <w:tc>
          <w:tcPr>
            <w:tcW w:w="1260" w:type="dxa"/>
            <w:noWrap/>
          </w:tcPr>
          <w:p w:rsidR="005913C2" w:rsidRPr="003E5A42" w:rsidRDefault="005913C2" w:rsidP="00C97161">
            <w:pPr>
              <w:jc w:val="center"/>
              <w:rPr>
                <w:lang w:eastAsia="ja-JP"/>
              </w:rPr>
            </w:pPr>
            <w:r w:rsidRPr="003E5A42">
              <w:rPr>
                <w:lang w:eastAsia="ja-JP"/>
              </w:rPr>
              <w:t>Y BD-rate</w:t>
            </w:r>
          </w:p>
        </w:tc>
        <w:tc>
          <w:tcPr>
            <w:tcW w:w="1260" w:type="dxa"/>
            <w:noWrap/>
          </w:tcPr>
          <w:p w:rsidR="005913C2" w:rsidRPr="003E5A42" w:rsidRDefault="005913C2" w:rsidP="00C97161">
            <w:pPr>
              <w:jc w:val="center"/>
              <w:rPr>
                <w:lang w:eastAsia="ja-JP"/>
              </w:rPr>
            </w:pPr>
            <w:r w:rsidRPr="003E5A42">
              <w:rPr>
                <w:lang w:eastAsia="ja-JP"/>
              </w:rPr>
              <w:t>U BD-rate</w:t>
            </w:r>
          </w:p>
        </w:tc>
        <w:tc>
          <w:tcPr>
            <w:tcW w:w="1350" w:type="dxa"/>
            <w:noWrap/>
          </w:tcPr>
          <w:p w:rsidR="005913C2" w:rsidRPr="003E5A42" w:rsidRDefault="005913C2" w:rsidP="00C97161">
            <w:pPr>
              <w:jc w:val="center"/>
              <w:rPr>
                <w:lang w:eastAsia="ja-JP"/>
              </w:rPr>
            </w:pPr>
            <w:r w:rsidRPr="003E5A42">
              <w:rPr>
                <w:lang w:eastAsia="ja-JP"/>
              </w:rPr>
              <w:t>V BD-rate</w:t>
            </w:r>
          </w:p>
        </w:tc>
      </w:tr>
      <w:tr w:rsidR="005913C2" w:rsidRPr="003E5A42" w:rsidTr="00C97161">
        <w:trPr>
          <w:trHeight w:val="280"/>
        </w:trPr>
        <w:tc>
          <w:tcPr>
            <w:tcW w:w="1514" w:type="dxa"/>
            <w:noWrap/>
          </w:tcPr>
          <w:p w:rsidR="005913C2" w:rsidRPr="003E5A42" w:rsidRDefault="005913C2" w:rsidP="003E5A42">
            <w:pPr>
              <w:jc w:val="both"/>
              <w:rPr>
                <w:lang w:eastAsia="ja-JP"/>
              </w:rPr>
            </w:pPr>
            <w:r w:rsidRPr="003E5A42">
              <w:rPr>
                <w:lang w:eastAsia="ja-JP"/>
              </w:rPr>
              <w:t>Class SHV</w:t>
            </w:r>
          </w:p>
        </w:tc>
        <w:tc>
          <w:tcPr>
            <w:tcW w:w="1474" w:type="dxa"/>
            <w:noWrap/>
          </w:tcPr>
          <w:p w:rsidR="005913C2" w:rsidRPr="003E5A42" w:rsidRDefault="005913C2" w:rsidP="00C97161">
            <w:pPr>
              <w:jc w:val="center"/>
              <w:rPr>
                <w:lang w:eastAsia="ja-JP"/>
              </w:rPr>
            </w:pPr>
            <w:r w:rsidRPr="003E5A42">
              <w:rPr>
                <w:lang w:eastAsia="ja-JP"/>
              </w:rPr>
              <w:t>-1.0</w:t>
            </w:r>
          </w:p>
        </w:tc>
        <w:tc>
          <w:tcPr>
            <w:tcW w:w="1350" w:type="dxa"/>
            <w:noWrap/>
          </w:tcPr>
          <w:p w:rsidR="005913C2" w:rsidRPr="003E5A42" w:rsidRDefault="005913C2" w:rsidP="00C97161">
            <w:pPr>
              <w:jc w:val="center"/>
              <w:rPr>
                <w:lang w:eastAsia="ja-JP"/>
              </w:rPr>
            </w:pPr>
            <w:r w:rsidRPr="003E5A42">
              <w:rPr>
                <w:lang w:eastAsia="ja-JP"/>
              </w:rPr>
              <w:t>-0.5</w:t>
            </w:r>
          </w:p>
        </w:tc>
        <w:tc>
          <w:tcPr>
            <w:tcW w:w="1260" w:type="dxa"/>
            <w:noWrap/>
          </w:tcPr>
          <w:p w:rsidR="005913C2" w:rsidRPr="003E5A42" w:rsidRDefault="005913C2" w:rsidP="00C97161">
            <w:pPr>
              <w:jc w:val="center"/>
              <w:rPr>
                <w:lang w:eastAsia="ja-JP"/>
              </w:rPr>
            </w:pPr>
            <w:r w:rsidRPr="003E5A42">
              <w:rPr>
                <w:lang w:eastAsia="ja-JP"/>
              </w:rPr>
              <w:t>-0.1</w:t>
            </w:r>
          </w:p>
        </w:tc>
        <w:tc>
          <w:tcPr>
            <w:tcW w:w="1260" w:type="dxa"/>
            <w:noWrap/>
          </w:tcPr>
          <w:p w:rsidR="005913C2" w:rsidRPr="003E5A42" w:rsidRDefault="005913C2" w:rsidP="00C97161">
            <w:pPr>
              <w:jc w:val="center"/>
              <w:rPr>
                <w:lang w:eastAsia="ja-JP"/>
              </w:rPr>
            </w:pPr>
            <w:r w:rsidRPr="003E5A42">
              <w:rPr>
                <w:lang w:eastAsia="ja-JP"/>
              </w:rPr>
              <w:t>-1.6</w:t>
            </w:r>
          </w:p>
        </w:tc>
        <w:tc>
          <w:tcPr>
            <w:tcW w:w="1260" w:type="dxa"/>
            <w:noWrap/>
          </w:tcPr>
          <w:p w:rsidR="005913C2" w:rsidRPr="003E5A42" w:rsidRDefault="005913C2" w:rsidP="00C97161">
            <w:pPr>
              <w:jc w:val="center"/>
              <w:rPr>
                <w:lang w:eastAsia="ja-JP"/>
              </w:rPr>
            </w:pPr>
            <w:r w:rsidRPr="003E5A42">
              <w:rPr>
                <w:lang w:eastAsia="ja-JP"/>
              </w:rPr>
              <w:t>-0.9</w:t>
            </w:r>
          </w:p>
        </w:tc>
        <w:tc>
          <w:tcPr>
            <w:tcW w:w="1350" w:type="dxa"/>
            <w:noWrap/>
          </w:tcPr>
          <w:p w:rsidR="005913C2" w:rsidRPr="003E5A42" w:rsidRDefault="005913C2" w:rsidP="00C97161">
            <w:pPr>
              <w:jc w:val="center"/>
              <w:rPr>
                <w:lang w:eastAsia="ja-JP"/>
              </w:rPr>
            </w:pPr>
            <w:r w:rsidRPr="003E5A42">
              <w:rPr>
                <w:lang w:eastAsia="ja-JP"/>
              </w:rPr>
              <w:t>-0.9</w:t>
            </w:r>
          </w:p>
        </w:tc>
      </w:tr>
      <w:tr w:rsidR="005913C2" w:rsidRPr="003E5A42" w:rsidTr="00C97161">
        <w:trPr>
          <w:trHeight w:val="264"/>
        </w:trPr>
        <w:tc>
          <w:tcPr>
            <w:tcW w:w="1514" w:type="dxa"/>
            <w:noWrap/>
          </w:tcPr>
          <w:p w:rsidR="005913C2" w:rsidRPr="003E5A42" w:rsidRDefault="005913C2" w:rsidP="003E5A42">
            <w:pPr>
              <w:jc w:val="both"/>
              <w:rPr>
                <w:lang w:eastAsia="ja-JP"/>
              </w:rPr>
            </w:pPr>
            <w:r w:rsidRPr="003E5A42">
              <w:rPr>
                <w:lang w:eastAsia="ja-JP"/>
              </w:rPr>
              <w:t>Enc Time[%]</w:t>
            </w:r>
          </w:p>
        </w:tc>
        <w:tc>
          <w:tcPr>
            <w:tcW w:w="4084" w:type="dxa"/>
            <w:gridSpan w:val="3"/>
            <w:noWrap/>
          </w:tcPr>
          <w:p w:rsidR="005913C2" w:rsidRPr="003E5A42" w:rsidRDefault="005913C2" w:rsidP="00C97161">
            <w:pPr>
              <w:jc w:val="center"/>
              <w:rPr>
                <w:lang w:eastAsia="ja-JP"/>
              </w:rPr>
            </w:pPr>
            <w:r w:rsidRPr="003E5A42">
              <w:rPr>
                <w:lang w:eastAsia="ja-JP"/>
              </w:rPr>
              <w:t>106%</w:t>
            </w:r>
          </w:p>
        </w:tc>
        <w:tc>
          <w:tcPr>
            <w:tcW w:w="3870" w:type="dxa"/>
            <w:gridSpan w:val="3"/>
            <w:noWrap/>
          </w:tcPr>
          <w:p w:rsidR="005913C2" w:rsidRPr="003E5A42" w:rsidRDefault="005913C2" w:rsidP="00C97161">
            <w:pPr>
              <w:jc w:val="center"/>
              <w:rPr>
                <w:lang w:eastAsia="ja-JP"/>
              </w:rPr>
            </w:pPr>
            <w:r w:rsidRPr="003E5A42">
              <w:rPr>
                <w:lang w:eastAsia="ja-JP"/>
              </w:rPr>
              <w:t>107%</w:t>
            </w:r>
          </w:p>
        </w:tc>
      </w:tr>
      <w:tr w:rsidR="005913C2" w:rsidRPr="003E5A42" w:rsidTr="00C97161">
        <w:trPr>
          <w:trHeight w:val="280"/>
        </w:trPr>
        <w:tc>
          <w:tcPr>
            <w:tcW w:w="1514" w:type="dxa"/>
            <w:noWrap/>
          </w:tcPr>
          <w:p w:rsidR="005913C2" w:rsidRPr="003E5A42" w:rsidRDefault="005913C2" w:rsidP="003E5A42">
            <w:pPr>
              <w:jc w:val="both"/>
              <w:rPr>
                <w:lang w:eastAsia="ja-JP"/>
              </w:rPr>
            </w:pPr>
            <w:r w:rsidRPr="003E5A42">
              <w:rPr>
                <w:lang w:eastAsia="ja-JP"/>
              </w:rPr>
              <w:t>Dec Time[%]</w:t>
            </w:r>
          </w:p>
        </w:tc>
        <w:tc>
          <w:tcPr>
            <w:tcW w:w="4084" w:type="dxa"/>
            <w:gridSpan w:val="3"/>
            <w:noWrap/>
          </w:tcPr>
          <w:p w:rsidR="005913C2" w:rsidRPr="003E5A42" w:rsidRDefault="005913C2" w:rsidP="00C97161">
            <w:pPr>
              <w:jc w:val="center"/>
              <w:rPr>
                <w:lang w:eastAsia="ja-JP"/>
              </w:rPr>
            </w:pPr>
            <w:r w:rsidRPr="003E5A42">
              <w:rPr>
                <w:lang w:eastAsia="ja-JP"/>
              </w:rPr>
              <w:t>104%</w:t>
            </w:r>
          </w:p>
        </w:tc>
        <w:tc>
          <w:tcPr>
            <w:tcW w:w="3870" w:type="dxa"/>
            <w:gridSpan w:val="3"/>
            <w:noWrap/>
          </w:tcPr>
          <w:p w:rsidR="005913C2" w:rsidRPr="003E5A42" w:rsidRDefault="005913C2" w:rsidP="00C97161">
            <w:pPr>
              <w:jc w:val="center"/>
              <w:rPr>
                <w:lang w:eastAsia="ja-JP"/>
              </w:rPr>
            </w:pPr>
            <w:r w:rsidRPr="003E5A42">
              <w:rPr>
                <w:lang w:eastAsia="ja-JP"/>
              </w:rPr>
              <w:t>114%</w:t>
            </w:r>
          </w:p>
        </w:tc>
      </w:tr>
    </w:tbl>
    <w:p w:rsidR="005913C2" w:rsidRPr="00940593" w:rsidRDefault="005913C2" w:rsidP="00954FCF">
      <w:pPr>
        <w:jc w:val="both"/>
        <w:rPr>
          <w:lang w:eastAsia="ja-JP"/>
        </w:rPr>
      </w:pPr>
    </w:p>
    <w:p w:rsidR="005913C2" w:rsidRDefault="005913C2" w:rsidP="00A76601">
      <w:pPr>
        <w:pStyle w:val="Heading1"/>
        <w:jc w:val="both"/>
      </w:pPr>
      <w:r>
        <w:lastRenderedPageBreak/>
        <w:t>Subjective evaluation</w:t>
      </w:r>
    </w:p>
    <w:p w:rsidR="005913C2" w:rsidRDefault="001D7542" w:rsidP="00E06A8E">
      <w:pPr>
        <w:jc w:val="both"/>
        <w:rPr>
          <w:lang w:eastAsia="ja-JP"/>
        </w:rPr>
      </w:pPr>
      <w:r>
        <w:t>The t</w:t>
      </w:r>
      <w:r w:rsidR="005913C2">
        <w:t xml:space="preserve">wo sequences for which DCIM </w:t>
      </w:r>
      <w:r w:rsidR="00600CA1">
        <w:t>performed well</w:t>
      </w:r>
      <w:r w:rsidR="005913C2">
        <w:t xml:space="preserve"> in the objective evaluation, namely </w:t>
      </w:r>
      <w:proofErr w:type="spellStart"/>
      <w:r w:rsidR="005913C2" w:rsidRPr="00201234">
        <w:t>BasketballDrive</w:t>
      </w:r>
      <w:proofErr w:type="spellEnd"/>
      <w:r w:rsidR="005913C2" w:rsidRPr="00201234">
        <w:t xml:space="preserve"> and </w:t>
      </w:r>
      <w:proofErr w:type="spellStart"/>
      <w:r w:rsidR="005913C2" w:rsidRPr="00201234">
        <w:t>BasketballDrill</w:t>
      </w:r>
      <w:proofErr w:type="spellEnd"/>
      <w:r w:rsidR="005913C2" w:rsidRPr="00201234">
        <w:t>,</w:t>
      </w:r>
      <w:r w:rsidR="005913C2">
        <w:t xml:space="preserve"> were selected by </w:t>
      </w:r>
      <w:r w:rsidR="00600CA1">
        <w:t>NEC for</w:t>
      </w:r>
      <w:r w:rsidR="005913C2">
        <w:t xml:space="preserve"> visual </w:t>
      </w:r>
      <w:r w:rsidR="005913C2" w:rsidRPr="002D7183">
        <w:t>evaluation [2].</w:t>
      </w:r>
      <w:r w:rsidR="005913C2">
        <w:t xml:space="preserve"> Despite the fact that all Intra coding performed the best, it was not used for visual evaluation due to existence of Intra flicker. Therefore, as an alternative, random access was used. It was observed that the v</w:t>
      </w:r>
      <w:r w:rsidR="005913C2" w:rsidRPr="00201234">
        <w:t xml:space="preserve">isual appearances of </w:t>
      </w:r>
      <w:r w:rsidR="005913C2">
        <w:t>the a</w:t>
      </w:r>
      <w:r w:rsidR="005913C2" w:rsidRPr="00201234">
        <w:t xml:space="preserve">nchor and </w:t>
      </w:r>
      <w:r w:rsidR="005913C2">
        <w:t xml:space="preserve">that of </w:t>
      </w:r>
      <w:r w:rsidR="005913C2" w:rsidRPr="00201234">
        <w:t>DCIM are different, especially</w:t>
      </w:r>
      <w:r w:rsidR="005913C2">
        <w:t>,</w:t>
      </w:r>
      <w:r w:rsidR="005913C2" w:rsidRPr="00201234">
        <w:t xml:space="preserve"> in the floor areas. However, significant visual quality improvements</w:t>
      </w:r>
      <w:r w:rsidR="005913C2">
        <w:t xml:space="preserve"> or </w:t>
      </w:r>
      <w:r w:rsidR="005913C2" w:rsidRPr="00201234">
        <w:t xml:space="preserve">degradations by DCIM were not observed in play-backed videos. </w:t>
      </w:r>
      <w:r w:rsidR="005913C2">
        <w:t xml:space="preserve">It should be also noted that </w:t>
      </w:r>
      <w:r w:rsidR="005913C2" w:rsidRPr="00201234">
        <w:t xml:space="preserve">DCIM's </w:t>
      </w:r>
      <w:r w:rsidR="005913C2">
        <w:t>bit-</w:t>
      </w:r>
      <w:r w:rsidR="005913C2" w:rsidRPr="00201234">
        <w:t xml:space="preserve">rates </w:t>
      </w:r>
      <w:r w:rsidR="00B20A24">
        <w:t>were</w:t>
      </w:r>
      <w:r w:rsidR="005913C2" w:rsidRPr="00201234">
        <w:t xml:space="preserve"> lower than those of </w:t>
      </w:r>
      <w:r w:rsidR="005913C2">
        <w:t>the</w:t>
      </w:r>
      <w:r w:rsidR="005913C2" w:rsidRPr="00201234">
        <w:t xml:space="preserve"> </w:t>
      </w:r>
      <w:r w:rsidR="005913C2">
        <w:t>a</w:t>
      </w:r>
      <w:r w:rsidR="005913C2" w:rsidRPr="00201234">
        <w:t>nchors</w:t>
      </w:r>
      <w:r w:rsidR="005913C2">
        <w:t xml:space="preserve"> for both sequences and all QPs.</w:t>
      </w:r>
      <w:r w:rsidR="005913C2" w:rsidRPr="00201234">
        <w:t xml:space="preserve"> By freezing </w:t>
      </w:r>
      <w:r w:rsidR="005913C2">
        <w:t xml:space="preserve">the </w:t>
      </w:r>
      <w:r w:rsidR="005913C2" w:rsidRPr="00201234">
        <w:t xml:space="preserve">video playback and comparing frame-by-frame appearances, significant visual quality improvements by DCIM </w:t>
      </w:r>
      <w:r w:rsidR="00B20A24">
        <w:t xml:space="preserve">were observed </w:t>
      </w:r>
      <w:r w:rsidR="005913C2" w:rsidRPr="00201234">
        <w:t xml:space="preserve">in </w:t>
      </w:r>
      <w:proofErr w:type="spellStart"/>
      <w:r w:rsidR="005913C2" w:rsidRPr="00201234">
        <w:t>BasketballDrive</w:t>
      </w:r>
      <w:proofErr w:type="spellEnd"/>
      <w:r w:rsidR="005913C2">
        <w:t xml:space="preserve"> </w:t>
      </w:r>
      <w:r w:rsidR="005913C2" w:rsidRPr="00201234">
        <w:t xml:space="preserve">QP=37 and </w:t>
      </w:r>
      <w:proofErr w:type="spellStart"/>
      <w:r w:rsidR="005913C2" w:rsidRPr="00201234">
        <w:t>BasketballDrill</w:t>
      </w:r>
      <w:proofErr w:type="spellEnd"/>
      <w:r w:rsidR="005913C2" w:rsidRPr="00201234">
        <w:t xml:space="preserve"> QP=32 results</w:t>
      </w:r>
      <w:r w:rsidR="00B20A24">
        <w:t xml:space="preserve"> [2]</w:t>
      </w:r>
      <w:r w:rsidR="005913C2" w:rsidRPr="00201234">
        <w:t xml:space="preserve">. As for the </w:t>
      </w:r>
      <w:proofErr w:type="spellStart"/>
      <w:r w:rsidR="005913C2" w:rsidRPr="00201234">
        <w:t>BasketballDrive</w:t>
      </w:r>
      <w:proofErr w:type="spellEnd"/>
      <w:r w:rsidR="005913C2" w:rsidRPr="00201234">
        <w:t xml:space="preserve"> QP=37 result, artificial vertical lines appear</w:t>
      </w:r>
      <w:r w:rsidR="00B20A24">
        <w:t>ed</w:t>
      </w:r>
      <w:r w:rsidR="005913C2" w:rsidRPr="00201234">
        <w:t xml:space="preserve"> on the wooden wall areas of the background in </w:t>
      </w:r>
      <w:r w:rsidR="005913C2">
        <w:t>the a</w:t>
      </w:r>
      <w:r w:rsidR="005913C2" w:rsidRPr="00201234">
        <w:t>nchor, whereas those d</w:t>
      </w:r>
      <w:r w:rsidR="005913C2">
        <w:t>id</w:t>
      </w:r>
      <w:r w:rsidR="005913C2" w:rsidRPr="00201234">
        <w:t xml:space="preserve"> not appear in DCIM. As for the </w:t>
      </w:r>
      <w:proofErr w:type="spellStart"/>
      <w:r w:rsidR="005913C2" w:rsidRPr="00201234">
        <w:t>BasketballDrill</w:t>
      </w:r>
      <w:proofErr w:type="spellEnd"/>
      <w:r w:rsidR="005913C2" w:rsidRPr="00201234">
        <w:t xml:space="preserve"> QP=32 results, a diagonal line of the basketball backboard goal </w:t>
      </w:r>
      <w:r w:rsidR="00B20A24">
        <w:t>was</w:t>
      </w:r>
      <w:r w:rsidR="005913C2" w:rsidRPr="00201234">
        <w:t xml:space="preserve"> distorted in </w:t>
      </w:r>
      <w:r w:rsidR="005913C2">
        <w:t>the a</w:t>
      </w:r>
      <w:r w:rsidR="005913C2" w:rsidRPr="00201234">
        <w:t xml:space="preserve">nchor, whereas </w:t>
      </w:r>
      <w:r w:rsidR="005913C2">
        <w:t xml:space="preserve">that area </w:t>
      </w:r>
      <w:r w:rsidR="00B20A24">
        <w:t>was</w:t>
      </w:r>
      <w:r w:rsidR="005913C2">
        <w:t xml:space="preserve"> </w:t>
      </w:r>
      <w:r w:rsidR="005913C2" w:rsidRPr="00201234">
        <w:t>reconstructed in DCIM</w:t>
      </w:r>
      <w:r w:rsidR="005913C2">
        <w:t xml:space="preserve"> without any noticeable errors. Figures </w:t>
      </w:r>
      <w:r w:rsidR="005913C2" w:rsidRPr="0069042C">
        <w:t>[1] and [2]</w:t>
      </w:r>
      <w:r w:rsidR="005913C2">
        <w:t xml:space="preserve"> </w:t>
      </w:r>
      <w:r w:rsidR="005913C2" w:rsidRPr="00201234">
        <w:t xml:space="preserve">show </w:t>
      </w:r>
      <w:r w:rsidR="005913C2">
        <w:t xml:space="preserve">some examples of </w:t>
      </w:r>
      <w:r w:rsidR="005913C2" w:rsidRPr="00201234">
        <w:t>the areas where visual quality improvements by DCIM</w:t>
      </w:r>
      <w:r w:rsidR="00B20A24">
        <w:t xml:space="preserve"> were observed</w:t>
      </w:r>
      <w:r w:rsidR="005913C2" w:rsidRPr="00201234">
        <w:t>. </w:t>
      </w:r>
    </w:p>
    <w:p w:rsidR="00BE0570" w:rsidRDefault="00BE0570" w:rsidP="00E06A8E">
      <w:pPr>
        <w:jc w:val="both"/>
        <w:rPr>
          <w:lang w:eastAsia="ja-JP"/>
        </w:rPr>
      </w:pPr>
    </w:p>
    <w:p w:rsidR="005913C2" w:rsidRDefault="00775F1B" w:rsidP="00E06A8E">
      <w:pPr>
        <w:jc w:val="both"/>
        <w:rPr>
          <w:lang w:eastAsia="ja-JP"/>
        </w:rPr>
      </w:pPr>
      <w:r w:rsidRPr="00775F1B">
        <w:rPr>
          <w:noProof/>
        </w:rPr>
        <w:drawing>
          <wp:inline distT="0" distB="0" distL="0" distR="0">
            <wp:extent cx="5929687" cy="294056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936388" cy="2943883"/>
                    </a:xfrm>
                    <a:prstGeom prst="rect">
                      <a:avLst/>
                    </a:prstGeom>
                    <a:noFill/>
                    <a:ln w="9525">
                      <a:noFill/>
                      <a:miter lim="800000"/>
                      <a:headEnd/>
                      <a:tailEnd/>
                    </a:ln>
                  </pic:spPr>
                </pic:pic>
              </a:graphicData>
            </a:graphic>
          </wp:inline>
        </w:drawing>
      </w:r>
    </w:p>
    <w:p w:rsidR="00775F1B" w:rsidRDefault="00775F1B" w:rsidP="00775F1B">
      <w:pPr>
        <w:pStyle w:val="Caption"/>
        <w:jc w:val="both"/>
      </w:pPr>
      <w:bookmarkStart w:id="1" w:name="_Ref282874136"/>
      <w:proofErr w:type="gramStart"/>
      <w:r>
        <w:t xml:space="preserve">Figure </w:t>
      </w:r>
      <w:r w:rsidR="00A622DF">
        <w:fldChar w:fldCharType="begin"/>
      </w:r>
      <w:r w:rsidR="00A622DF">
        <w:instrText xml:space="preserve"> SEQ Figure \* ARABIC </w:instrText>
      </w:r>
      <w:r w:rsidR="00A622DF">
        <w:fldChar w:fldCharType="separate"/>
      </w:r>
      <w:r>
        <w:rPr>
          <w:noProof/>
        </w:rPr>
        <w:t>1</w:t>
      </w:r>
      <w:r w:rsidR="00A622DF">
        <w:fldChar w:fldCharType="end"/>
      </w:r>
      <w:bookmarkEnd w:id="1"/>
      <w:r>
        <w:t>.</w:t>
      </w:r>
      <w:proofErr w:type="gramEnd"/>
      <w:r>
        <w:t xml:space="preserve"> </w:t>
      </w:r>
      <w:proofErr w:type="spellStart"/>
      <w:r w:rsidRPr="007F1DF7">
        <w:t>BasketballDrive</w:t>
      </w:r>
      <w:proofErr w:type="spellEnd"/>
      <w:r w:rsidRPr="007F1DF7">
        <w:t xml:space="preserve"> (No. 432) QP=37 results for low complexity random access (Left: Anchor 33.34dB 1684.29Kbps, Right: DCIM 33.35dB 1655.84Kbps)</w:t>
      </w:r>
      <w:r>
        <w:t>.</w:t>
      </w:r>
    </w:p>
    <w:p w:rsidR="005913C2" w:rsidRDefault="005913C2" w:rsidP="00E06A8E">
      <w:pPr>
        <w:jc w:val="both"/>
        <w:rPr>
          <w:lang w:eastAsia="ja-JP"/>
        </w:rPr>
      </w:pPr>
    </w:p>
    <w:p w:rsidR="005913C2" w:rsidRDefault="00923014" w:rsidP="00E06A8E">
      <w:pPr>
        <w:jc w:val="both"/>
        <w:rPr>
          <w:lang w:eastAsia="ja-JP"/>
        </w:rPr>
      </w:pPr>
      <w:r>
        <w:rPr>
          <w:noProof/>
        </w:rPr>
        <w:lastRenderedPageBreak/>
        <w:drawing>
          <wp:inline distT="0" distB="0" distL="0" distR="0">
            <wp:extent cx="5948680" cy="3421380"/>
            <wp:effectExtent l="1905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5948680" cy="3421380"/>
                    </a:xfrm>
                    <a:prstGeom prst="rect">
                      <a:avLst/>
                    </a:prstGeom>
                    <a:noFill/>
                    <a:ln w="9525">
                      <a:noFill/>
                      <a:miter lim="800000"/>
                      <a:headEnd/>
                      <a:tailEnd/>
                    </a:ln>
                  </pic:spPr>
                </pic:pic>
              </a:graphicData>
            </a:graphic>
          </wp:inline>
        </w:drawing>
      </w:r>
    </w:p>
    <w:p w:rsidR="00775F1B" w:rsidRPr="00201234" w:rsidRDefault="00775F1B" w:rsidP="00775F1B">
      <w:pPr>
        <w:pStyle w:val="Caption"/>
        <w:jc w:val="both"/>
      </w:pPr>
      <w:bookmarkStart w:id="2" w:name="_Ref282874139"/>
      <w:proofErr w:type="gramStart"/>
      <w:r>
        <w:t xml:space="preserve">Figure </w:t>
      </w:r>
      <w:r w:rsidR="00A622DF">
        <w:fldChar w:fldCharType="begin"/>
      </w:r>
      <w:r w:rsidR="00A622DF">
        <w:instrText xml:space="preserve"> SEQ Figure \* ARABIC </w:instrText>
      </w:r>
      <w:r w:rsidR="00A622DF">
        <w:fldChar w:fldCharType="separate"/>
      </w:r>
      <w:r>
        <w:rPr>
          <w:noProof/>
        </w:rPr>
        <w:t>2</w:t>
      </w:r>
      <w:r w:rsidR="00A622DF">
        <w:fldChar w:fldCharType="end"/>
      </w:r>
      <w:bookmarkEnd w:id="2"/>
      <w:r>
        <w:t>.</w:t>
      </w:r>
      <w:proofErr w:type="gramEnd"/>
      <w:r>
        <w:t xml:space="preserve"> </w:t>
      </w:r>
      <w:r w:rsidRPr="00CC6DAC">
        <w:t>Artificial vertical lines are avoided in DCIM result</w:t>
      </w:r>
      <w:r>
        <w:t>.</w:t>
      </w:r>
    </w:p>
    <w:p w:rsidR="00BE0570" w:rsidRPr="00BE0570" w:rsidRDefault="00BE0570" w:rsidP="00E06A8E">
      <w:pPr>
        <w:jc w:val="both"/>
        <w:rPr>
          <w:lang w:eastAsia="ja-JP"/>
        </w:rPr>
      </w:pPr>
    </w:p>
    <w:p w:rsidR="005913C2" w:rsidRDefault="005913C2" w:rsidP="00A76601">
      <w:pPr>
        <w:pStyle w:val="Heading1"/>
      </w:pPr>
      <w:r>
        <w:t>Conclusions</w:t>
      </w:r>
    </w:p>
    <w:p w:rsidR="005913C2" w:rsidRPr="00A76601" w:rsidRDefault="00775F1B" w:rsidP="00600CA1">
      <w:pPr>
        <w:jc w:val="both"/>
      </w:pPr>
      <w:r>
        <w:t>Sony, Panasonic</w:t>
      </w:r>
      <w:r w:rsidR="009E0597">
        <w:t>, Sharp, NEC,</w:t>
      </w:r>
      <w:r w:rsidR="005913C2">
        <w:t xml:space="preserve"> and NHK launched a comprehensive study of DCIM and conducted a thorough subjective and objective evaluation of DCIM under various settings and with many video sequences. The results of this investigation </w:t>
      </w:r>
      <w:r w:rsidR="00B20A24">
        <w:t xml:space="preserve">were </w:t>
      </w:r>
      <w:r w:rsidR="005913C2">
        <w:t xml:space="preserve">summarized and presented in this document. Based on these results, </w:t>
      </w:r>
      <w:r w:rsidR="00B20A24">
        <w:t xml:space="preserve">both subjective and objective, </w:t>
      </w:r>
      <w:r w:rsidR="005913C2">
        <w:t xml:space="preserve">we recommend including this technology in the HM. </w:t>
      </w:r>
    </w:p>
    <w:p w:rsidR="005913C2" w:rsidRDefault="005913C2" w:rsidP="00E7689D">
      <w:pPr>
        <w:pStyle w:val="Heading1"/>
        <w:rPr>
          <w:szCs w:val="22"/>
        </w:rPr>
      </w:pPr>
      <w:r>
        <w:rPr>
          <w:szCs w:val="22"/>
        </w:rPr>
        <w:t>References</w:t>
      </w:r>
    </w:p>
    <w:p w:rsidR="005913C2" w:rsidRPr="00A76601" w:rsidRDefault="005913C2" w:rsidP="00A76601"/>
    <w:p w:rsidR="005913C2" w:rsidRPr="00320EF2" w:rsidRDefault="005913C2" w:rsidP="00C97161">
      <w:pPr>
        <w:numPr>
          <w:ilvl w:val="0"/>
          <w:numId w:val="11"/>
        </w:numPr>
        <w:tabs>
          <w:tab w:val="clear" w:pos="360"/>
          <w:tab w:val="clear" w:pos="1080"/>
          <w:tab w:val="clear" w:pos="1440"/>
        </w:tabs>
        <w:spacing w:before="120"/>
        <w:rPr>
          <w:szCs w:val="22"/>
          <w:lang w:eastAsia="ja-JP"/>
        </w:rPr>
      </w:pPr>
      <w:bookmarkStart w:id="3" w:name="_Ref282734263"/>
      <w:bookmarkStart w:id="4" w:name="_Ref132360163"/>
      <w:r w:rsidRPr="00320EF2">
        <w:rPr>
          <w:szCs w:val="22"/>
          <w:lang w:eastAsia="ja-JP"/>
        </w:rPr>
        <w:t>Ehsan Maani et al. “Differential Coding of Intra Modes (DCIM)”, JCTVC-D</w:t>
      </w:r>
      <w:r>
        <w:rPr>
          <w:szCs w:val="22"/>
          <w:lang w:eastAsia="ja-JP"/>
        </w:rPr>
        <w:t>389</w:t>
      </w:r>
      <w:r w:rsidRPr="00320EF2">
        <w:rPr>
          <w:szCs w:val="22"/>
          <w:lang w:eastAsia="ja-JP"/>
        </w:rPr>
        <w:t xml:space="preserve">, 4th JCT-VC Meeting, </w:t>
      </w:r>
      <w:proofErr w:type="spellStart"/>
      <w:r w:rsidRPr="00320EF2">
        <w:rPr>
          <w:szCs w:val="22"/>
          <w:lang w:eastAsia="ja-JP"/>
        </w:rPr>
        <w:t>Daegu</w:t>
      </w:r>
      <w:proofErr w:type="spellEnd"/>
      <w:r w:rsidRPr="00320EF2">
        <w:rPr>
          <w:szCs w:val="22"/>
          <w:lang w:eastAsia="ja-JP"/>
        </w:rPr>
        <w:t>, January 2011.</w:t>
      </w:r>
      <w:bookmarkEnd w:id="3"/>
    </w:p>
    <w:p w:rsidR="005913C2" w:rsidRPr="00320EF2" w:rsidRDefault="00A622DF" w:rsidP="00320EF2">
      <w:pPr>
        <w:numPr>
          <w:ilvl w:val="0"/>
          <w:numId w:val="11"/>
        </w:numPr>
        <w:tabs>
          <w:tab w:val="clear" w:pos="360"/>
          <w:tab w:val="clear" w:pos="1080"/>
          <w:tab w:val="clear" w:pos="1440"/>
        </w:tabs>
        <w:spacing w:before="120"/>
        <w:rPr>
          <w:szCs w:val="22"/>
          <w:lang w:eastAsia="ja-JP"/>
        </w:rPr>
      </w:pPr>
      <w:hyperlink r:id="rId11" w:history="1">
        <w:r w:rsidR="005913C2" w:rsidRPr="00320EF2">
          <w:rPr>
            <w:rStyle w:val="Hyperlink"/>
            <w:color w:val="auto"/>
            <w:u w:val="none"/>
          </w:rPr>
          <w:t xml:space="preserve">K. </w:t>
        </w:r>
        <w:proofErr w:type="spellStart"/>
        <w:proofErr w:type="gramStart"/>
        <w:r w:rsidR="005913C2" w:rsidRPr="00320EF2">
          <w:rPr>
            <w:rStyle w:val="Hyperlink"/>
            <w:color w:val="auto"/>
            <w:u w:val="none"/>
          </w:rPr>
          <w:t>Chono</w:t>
        </w:r>
        <w:proofErr w:type="spellEnd"/>
        <w:r w:rsidR="005913C2" w:rsidRPr="00320EF2">
          <w:rPr>
            <w:rStyle w:val="Hyperlink"/>
            <w:color w:val="auto"/>
            <w:u w:val="none"/>
          </w:rPr>
          <w:t xml:space="preserve"> </w:t>
        </w:r>
        <w:proofErr w:type="gramEnd"/>
      </w:hyperlink>
      <w:r w:rsidR="005913C2" w:rsidRPr="00320EF2">
        <w:t xml:space="preserve">, </w:t>
      </w:r>
      <w:hyperlink r:id="rId12" w:history="1">
        <w:r w:rsidR="005913C2" w:rsidRPr="00320EF2">
          <w:rPr>
            <w:rStyle w:val="Hyperlink"/>
            <w:color w:val="auto"/>
            <w:u w:val="none"/>
          </w:rPr>
          <w:t xml:space="preserve">K. </w:t>
        </w:r>
        <w:proofErr w:type="spellStart"/>
        <w:r w:rsidR="005913C2" w:rsidRPr="00320EF2">
          <w:rPr>
            <w:rStyle w:val="Hyperlink"/>
            <w:color w:val="auto"/>
            <w:u w:val="none"/>
          </w:rPr>
          <w:t>Senzaki</w:t>
        </w:r>
        <w:proofErr w:type="spellEnd"/>
        <w:r w:rsidR="005913C2" w:rsidRPr="00320EF2">
          <w:rPr>
            <w:rStyle w:val="Hyperlink"/>
            <w:color w:val="auto"/>
            <w:u w:val="none"/>
          </w:rPr>
          <w:t xml:space="preserve"> </w:t>
        </w:r>
      </w:hyperlink>
      <w:r w:rsidR="005913C2" w:rsidRPr="00320EF2">
        <w:t xml:space="preserve">, </w:t>
      </w:r>
      <w:hyperlink r:id="rId13" w:history="1">
        <w:r w:rsidR="005913C2" w:rsidRPr="00320EF2">
          <w:rPr>
            <w:rStyle w:val="Hyperlink"/>
            <w:color w:val="auto"/>
            <w:u w:val="none"/>
          </w:rPr>
          <w:t xml:space="preserve">H. Aoki </w:t>
        </w:r>
      </w:hyperlink>
      <w:r w:rsidR="005913C2" w:rsidRPr="00320EF2">
        <w:t xml:space="preserve">, </w:t>
      </w:r>
      <w:hyperlink r:id="rId14" w:history="1">
        <w:r w:rsidR="005913C2" w:rsidRPr="00320EF2">
          <w:rPr>
            <w:rStyle w:val="Hyperlink"/>
            <w:color w:val="auto"/>
            <w:u w:val="none"/>
          </w:rPr>
          <w:t xml:space="preserve">J. </w:t>
        </w:r>
        <w:proofErr w:type="spellStart"/>
        <w:r w:rsidR="005913C2" w:rsidRPr="00320EF2">
          <w:rPr>
            <w:rStyle w:val="Hyperlink"/>
            <w:color w:val="auto"/>
            <w:u w:val="none"/>
          </w:rPr>
          <w:t>Tajime</w:t>
        </w:r>
        <w:proofErr w:type="spellEnd"/>
        <w:r w:rsidR="005913C2" w:rsidRPr="00320EF2">
          <w:rPr>
            <w:rStyle w:val="Hyperlink"/>
            <w:color w:val="auto"/>
            <w:u w:val="none"/>
          </w:rPr>
          <w:t xml:space="preserve"> </w:t>
        </w:r>
      </w:hyperlink>
      <w:r w:rsidR="005913C2" w:rsidRPr="00320EF2">
        <w:t xml:space="preserve">, </w:t>
      </w:r>
      <w:hyperlink r:id="rId15" w:history="1">
        <w:r w:rsidR="005913C2" w:rsidRPr="00320EF2">
          <w:rPr>
            <w:rStyle w:val="Hyperlink"/>
            <w:color w:val="auto"/>
            <w:u w:val="none"/>
          </w:rPr>
          <w:t xml:space="preserve">Y. </w:t>
        </w:r>
        <w:proofErr w:type="spellStart"/>
        <w:r w:rsidR="005913C2" w:rsidRPr="00320EF2">
          <w:rPr>
            <w:rStyle w:val="Hyperlink"/>
            <w:color w:val="auto"/>
            <w:u w:val="none"/>
          </w:rPr>
          <w:t>Senda</w:t>
        </w:r>
        <w:proofErr w:type="spellEnd"/>
      </w:hyperlink>
      <w:r w:rsidR="005913C2" w:rsidRPr="00320EF2">
        <w:t xml:space="preserve"> (</w:t>
      </w:r>
      <w:r w:rsidR="005913C2" w:rsidRPr="00320EF2">
        <w:rPr>
          <w:szCs w:val="22"/>
          <w:lang w:eastAsia="ja-JP"/>
        </w:rPr>
        <w:t>NEC), “</w:t>
      </w:r>
      <w:r w:rsidR="005913C2" w:rsidRPr="00320EF2">
        <w:t>CE6: Cross-check report on differential coding of intra mode”, JCTVC-D205,</w:t>
      </w:r>
      <w:r w:rsidR="005913C2" w:rsidRPr="00320EF2">
        <w:rPr>
          <w:szCs w:val="22"/>
          <w:lang w:eastAsia="ja-JP"/>
        </w:rPr>
        <w:t xml:space="preserve"> 4th JCT-VC Meeting, </w:t>
      </w:r>
      <w:proofErr w:type="spellStart"/>
      <w:r w:rsidR="005913C2" w:rsidRPr="00320EF2">
        <w:rPr>
          <w:szCs w:val="22"/>
          <w:lang w:eastAsia="ja-JP"/>
        </w:rPr>
        <w:t>Daegu</w:t>
      </w:r>
      <w:proofErr w:type="spellEnd"/>
      <w:r w:rsidR="005913C2" w:rsidRPr="00320EF2">
        <w:rPr>
          <w:szCs w:val="22"/>
          <w:lang w:eastAsia="ja-JP"/>
        </w:rPr>
        <w:t>, January 2011.</w:t>
      </w:r>
      <w:r w:rsidR="005913C2" w:rsidRPr="00320EF2">
        <w:t xml:space="preserve"> </w:t>
      </w:r>
    </w:p>
    <w:p w:rsidR="005913C2" w:rsidRDefault="005913C2" w:rsidP="00320EF2">
      <w:pPr>
        <w:numPr>
          <w:ilvl w:val="0"/>
          <w:numId w:val="11"/>
        </w:numPr>
        <w:tabs>
          <w:tab w:val="clear" w:pos="360"/>
          <w:tab w:val="clear" w:pos="1080"/>
          <w:tab w:val="clear" w:pos="1440"/>
        </w:tabs>
        <w:spacing w:before="120"/>
        <w:rPr>
          <w:szCs w:val="22"/>
          <w:lang w:eastAsia="ja-JP"/>
        </w:rPr>
      </w:pPr>
      <w:proofErr w:type="spellStart"/>
      <w:r w:rsidRPr="00320EF2">
        <w:t>Atsuro</w:t>
      </w:r>
      <w:proofErr w:type="spellEnd"/>
      <w:r w:rsidRPr="00320EF2">
        <w:t xml:space="preserve"> </w:t>
      </w:r>
      <w:proofErr w:type="spellStart"/>
      <w:proofErr w:type="gramStart"/>
      <w:r w:rsidRPr="00320EF2">
        <w:t>Ichigaya</w:t>
      </w:r>
      <w:proofErr w:type="spellEnd"/>
      <w:r w:rsidRPr="00320EF2">
        <w:t xml:space="preserve"> ,</w:t>
      </w:r>
      <w:proofErr w:type="gramEnd"/>
      <w:r w:rsidRPr="00320EF2">
        <w:t xml:space="preserve"> Yasuko </w:t>
      </w:r>
      <w:proofErr w:type="spellStart"/>
      <w:r w:rsidRPr="00320EF2">
        <w:t>Sugito</w:t>
      </w:r>
      <w:proofErr w:type="spellEnd"/>
      <w:r w:rsidRPr="00320EF2">
        <w:t xml:space="preserve"> (NHK), “CE6.c: Cross-check report on Differential Coding of Intra </w:t>
      </w:r>
      <w:proofErr w:type="spellStart"/>
      <w:r w:rsidRPr="00320EF2">
        <w:t>Modes</w:t>
      </w:r>
      <w:r w:rsidRPr="00320EF2">
        <w:rPr>
          <w:rFonts w:ascii="MS Mincho" w:eastAsia="MS Mincho" w:hAnsi="MS Mincho" w:cs="MS Mincho" w:hint="eastAsia"/>
        </w:rPr>
        <w:t>（</w:t>
      </w:r>
      <w:r w:rsidRPr="00320EF2">
        <w:t>DCIM</w:t>
      </w:r>
      <w:proofErr w:type="spellEnd"/>
      <w:r w:rsidRPr="00320EF2">
        <w:rPr>
          <w:rFonts w:eastAsia="MS Mincho" w:hint="eastAsia"/>
        </w:rPr>
        <w:t>）</w:t>
      </w:r>
      <w:r w:rsidRPr="00320EF2">
        <w:rPr>
          <w:rFonts w:eastAsia="MS Mincho"/>
        </w:rPr>
        <w:t>”,</w:t>
      </w:r>
      <w:r w:rsidRPr="00320EF2">
        <w:rPr>
          <w:rFonts w:ascii="MS Mincho" w:eastAsia="MS Mincho" w:hAnsi="MS Mincho" w:cs="MS Mincho"/>
        </w:rPr>
        <w:t xml:space="preserve"> </w:t>
      </w:r>
      <w:r w:rsidRPr="00320EF2">
        <w:t xml:space="preserve"> JCTVC-D177, </w:t>
      </w:r>
      <w:r w:rsidRPr="00320EF2">
        <w:rPr>
          <w:szCs w:val="22"/>
          <w:lang w:eastAsia="ja-JP"/>
        </w:rPr>
        <w:t xml:space="preserve">4th JCT-VC Meeting, </w:t>
      </w:r>
      <w:proofErr w:type="spellStart"/>
      <w:r w:rsidRPr="00320EF2">
        <w:rPr>
          <w:szCs w:val="22"/>
          <w:lang w:eastAsia="ja-JP"/>
        </w:rPr>
        <w:t>Daegu</w:t>
      </w:r>
      <w:proofErr w:type="spellEnd"/>
      <w:r w:rsidRPr="00320EF2">
        <w:rPr>
          <w:szCs w:val="22"/>
          <w:lang w:eastAsia="ja-JP"/>
        </w:rPr>
        <w:t>, January 2011.</w:t>
      </w:r>
    </w:p>
    <w:p w:rsidR="005913C2" w:rsidRPr="00320EF2" w:rsidRDefault="00A622DF" w:rsidP="00320EF2">
      <w:pPr>
        <w:numPr>
          <w:ilvl w:val="0"/>
          <w:numId w:val="11"/>
        </w:numPr>
        <w:tabs>
          <w:tab w:val="clear" w:pos="360"/>
          <w:tab w:val="clear" w:pos="1080"/>
          <w:tab w:val="clear" w:pos="1440"/>
        </w:tabs>
        <w:spacing w:before="120"/>
        <w:rPr>
          <w:szCs w:val="22"/>
          <w:lang w:eastAsia="ja-JP"/>
        </w:rPr>
      </w:pPr>
      <w:hyperlink r:id="rId16" w:history="1">
        <w:r w:rsidR="005913C2" w:rsidRPr="00403342">
          <w:rPr>
            <w:rStyle w:val="Hyperlink"/>
            <w:color w:val="auto"/>
            <w:u w:val="none"/>
          </w:rPr>
          <w:t>Virginie Drugeon</w:t>
        </w:r>
      </w:hyperlink>
      <w:r w:rsidR="005913C2" w:rsidRPr="002D7183">
        <w:t xml:space="preserve"> (Panasonic), “CE6.c: cross verification of edge-based intra prediction”, </w:t>
      </w:r>
      <w:r w:rsidR="005913C2" w:rsidRPr="002D7183">
        <w:rPr>
          <w:szCs w:val="22"/>
          <w:lang w:eastAsia="ja-JP"/>
        </w:rPr>
        <w:t>JCTVC-D218</w:t>
      </w:r>
      <w:r w:rsidR="005913C2" w:rsidRPr="002D7183">
        <w:t xml:space="preserve">, </w:t>
      </w:r>
      <w:r w:rsidR="005913C2" w:rsidRPr="002D7183">
        <w:rPr>
          <w:szCs w:val="22"/>
          <w:lang w:eastAsia="ja-JP"/>
        </w:rPr>
        <w:t>4th JCT-VC Me</w:t>
      </w:r>
      <w:r w:rsidR="005913C2" w:rsidRPr="00320EF2">
        <w:rPr>
          <w:szCs w:val="22"/>
          <w:lang w:eastAsia="ja-JP"/>
        </w:rPr>
        <w:t xml:space="preserve">eting, </w:t>
      </w:r>
      <w:proofErr w:type="spellStart"/>
      <w:r w:rsidR="005913C2" w:rsidRPr="00320EF2">
        <w:rPr>
          <w:szCs w:val="22"/>
          <w:lang w:eastAsia="ja-JP"/>
        </w:rPr>
        <w:t>Daegu</w:t>
      </w:r>
      <w:proofErr w:type="spellEnd"/>
      <w:r w:rsidR="005913C2" w:rsidRPr="00320EF2">
        <w:rPr>
          <w:szCs w:val="22"/>
          <w:lang w:eastAsia="ja-JP"/>
        </w:rPr>
        <w:t>, January 2011</w:t>
      </w:r>
    </w:p>
    <w:p w:rsidR="005913C2" w:rsidRPr="00811348" w:rsidRDefault="00A622DF" w:rsidP="00027437">
      <w:pPr>
        <w:numPr>
          <w:ilvl w:val="0"/>
          <w:numId w:val="11"/>
        </w:numPr>
        <w:tabs>
          <w:tab w:val="clear" w:pos="360"/>
          <w:tab w:val="clear" w:pos="1080"/>
          <w:tab w:val="clear" w:pos="1440"/>
        </w:tabs>
        <w:spacing w:before="120"/>
        <w:rPr>
          <w:szCs w:val="22"/>
          <w:lang w:eastAsia="ja-JP"/>
        </w:rPr>
      </w:pPr>
      <w:r w:rsidRPr="00A622DF">
        <w:rPr>
          <w:szCs w:val="22"/>
          <w:lang w:eastAsia="ja-JP"/>
        </w:rPr>
        <w:t xml:space="preserve">Tomoyuki Yamamoto (Sharp), “Evaluation of Most Probable Mode”, JCTVC-D113, 4th JCT-VC Meeting, </w:t>
      </w:r>
      <w:proofErr w:type="spellStart"/>
      <w:r w:rsidRPr="00A622DF">
        <w:rPr>
          <w:szCs w:val="22"/>
          <w:lang w:eastAsia="ja-JP"/>
        </w:rPr>
        <w:t>Daegu</w:t>
      </w:r>
      <w:proofErr w:type="spellEnd"/>
      <w:r w:rsidRPr="00A622DF">
        <w:rPr>
          <w:szCs w:val="22"/>
          <w:lang w:eastAsia="ja-JP"/>
        </w:rPr>
        <w:t>, January 2011.</w:t>
      </w:r>
    </w:p>
    <w:p w:rsidR="00000000" w:rsidRDefault="00A622DF">
      <w:pPr>
        <w:numPr>
          <w:ilvl w:val="0"/>
          <w:numId w:val="11"/>
        </w:numPr>
        <w:tabs>
          <w:tab w:val="clear" w:pos="360"/>
          <w:tab w:val="clear" w:pos="1080"/>
          <w:tab w:val="clear" w:pos="1440"/>
        </w:tabs>
        <w:spacing w:before="120"/>
        <w:rPr>
          <w:szCs w:val="22"/>
          <w:lang w:eastAsia="ja-JP"/>
        </w:rPr>
      </w:pPr>
      <w:r w:rsidRPr="00A622DF">
        <w:rPr>
          <w:szCs w:val="22"/>
          <w:lang w:eastAsia="ja-JP"/>
        </w:rPr>
        <w:t xml:space="preserve">Ali Tabatabai, “Tool Experiment 6: Intra Prediction Improvement”, Doc. JCTVC-B306_r3, Joint Collaborative Team on Video Coding (JCT-VC) of ITU-T SG16 WP3 and ISO/IEC JTC1/SC29/WG11, </w:t>
      </w:r>
      <w:smartTag w:uri="urn:schemas-microsoft-com:office:smarttags" w:element="City">
        <w:smartTag w:uri="urn:schemas-microsoft-com:office:smarttags" w:element="City">
          <w:r w:rsidRPr="00A622DF">
            <w:rPr>
              <w:szCs w:val="22"/>
              <w:lang w:eastAsia="ja-JP"/>
            </w:rPr>
            <w:t>Geneva</w:t>
          </w:r>
        </w:smartTag>
        <w:r w:rsidRPr="00A622DF">
          <w:rPr>
            <w:szCs w:val="22"/>
            <w:lang w:eastAsia="ja-JP"/>
          </w:rPr>
          <w:t xml:space="preserve">, </w:t>
        </w:r>
        <w:smartTag w:uri="urn:schemas-microsoft-com:office:smarttags" w:element="City">
          <w:r w:rsidRPr="00A622DF">
            <w:rPr>
              <w:szCs w:val="22"/>
              <w:lang w:eastAsia="ja-JP"/>
            </w:rPr>
            <w:t>Switzerland</w:t>
          </w:r>
        </w:smartTag>
      </w:smartTag>
      <w:r w:rsidRPr="00A622DF">
        <w:rPr>
          <w:szCs w:val="22"/>
          <w:lang w:eastAsia="ja-JP"/>
        </w:rPr>
        <w:t>, July 2010.</w:t>
      </w:r>
      <w:bookmarkEnd w:id="4"/>
    </w:p>
    <w:p w:rsidR="00000000" w:rsidRDefault="005913C2">
      <w:pPr>
        <w:numPr>
          <w:ilvl w:val="0"/>
          <w:numId w:val="11"/>
        </w:numPr>
        <w:tabs>
          <w:tab w:val="clear" w:pos="360"/>
          <w:tab w:val="clear" w:pos="1080"/>
          <w:tab w:val="clear" w:pos="1440"/>
        </w:tabs>
        <w:spacing w:before="120"/>
        <w:rPr>
          <w:szCs w:val="22"/>
          <w:lang w:eastAsia="ja-JP"/>
        </w:rPr>
      </w:pPr>
      <w:r w:rsidRPr="00027437">
        <w:rPr>
          <w:szCs w:val="22"/>
          <w:lang w:eastAsia="ja-JP"/>
        </w:rPr>
        <w:t>Kazuhisa Iguchi</w:t>
      </w:r>
      <w:r w:rsidR="00A622DF" w:rsidRPr="00A622DF">
        <w:rPr>
          <w:szCs w:val="22"/>
          <w:lang w:eastAsia="ja-JP"/>
        </w:rPr>
        <w:t xml:space="preserve">, </w:t>
      </w:r>
      <w:proofErr w:type="gramStart"/>
      <w:r w:rsidR="00A622DF" w:rsidRPr="00A622DF">
        <w:rPr>
          <w:szCs w:val="22"/>
          <w:lang w:eastAsia="ja-JP"/>
        </w:rPr>
        <w:t>et</w:t>
      </w:r>
      <w:proofErr w:type="gramEnd"/>
      <w:r w:rsidR="00A622DF" w:rsidRPr="00A622DF">
        <w:rPr>
          <w:szCs w:val="22"/>
          <w:lang w:eastAsia="ja-JP"/>
        </w:rPr>
        <w:t>. al. (NHK), “</w:t>
      </w:r>
      <w:r w:rsidRPr="00027437">
        <w:rPr>
          <w:szCs w:val="22"/>
          <w:lang w:eastAsia="ja-JP"/>
        </w:rPr>
        <w:t>Performance report of TMuC for Super Hi-Vision</w:t>
      </w:r>
      <w:r w:rsidR="00A622DF" w:rsidRPr="00A622DF">
        <w:rPr>
          <w:szCs w:val="22"/>
          <w:lang w:eastAsia="ja-JP"/>
        </w:rPr>
        <w:t xml:space="preserve">”, JCTVC-C055, </w:t>
      </w:r>
      <w:smartTag w:uri="urn:schemas-microsoft-com:office:smarttags" w:element="City">
        <w:r w:rsidR="00A622DF" w:rsidRPr="00A622DF">
          <w:rPr>
            <w:szCs w:val="22"/>
            <w:lang w:eastAsia="ja-JP"/>
          </w:rPr>
          <w:t>Guangzhou</w:t>
        </w:r>
      </w:smartTag>
      <w:r w:rsidR="00A622DF" w:rsidRPr="00A622DF">
        <w:rPr>
          <w:szCs w:val="22"/>
          <w:lang w:eastAsia="ja-JP"/>
        </w:rPr>
        <w:t>, October 2010</w:t>
      </w:r>
    </w:p>
    <w:p w:rsidR="00000000" w:rsidRDefault="00A622DF">
      <w:pPr>
        <w:numPr>
          <w:ilvl w:val="0"/>
          <w:numId w:val="11"/>
        </w:numPr>
        <w:tabs>
          <w:tab w:val="clear" w:pos="360"/>
          <w:tab w:val="clear" w:pos="1080"/>
          <w:tab w:val="clear" w:pos="1440"/>
        </w:tabs>
        <w:spacing w:before="120"/>
        <w:rPr>
          <w:szCs w:val="22"/>
          <w:lang w:eastAsia="ja-JP"/>
        </w:rPr>
      </w:pPr>
      <w:r w:rsidRPr="00A622DF">
        <w:rPr>
          <w:szCs w:val="22"/>
          <w:lang w:eastAsia="ja-JP"/>
        </w:rPr>
        <w:lastRenderedPageBreak/>
        <w:t xml:space="preserve">Shinichi </w:t>
      </w:r>
      <w:proofErr w:type="spellStart"/>
      <w:r w:rsidRPr="00A622DF">
        <w:rPr>
          <w:szCs w:val="22"/>
          <w:lang w:eastAsia="ja-JP"/>
        </w:rPr>
        <w:t>Sakaida</w:t>
      </w:r>
      <w:proofErr w:type="spellEnd"/>
      <w:r w:rsidRPr="00A622DF">
        <w:rPr>
          <w:szCs w:val="22"/>
          <w:lang w:eastAsia="ja-JP"/>
        </w:rPr>
        <w:t xml:space="preserve">, </w:t>
      </w:r>
      <w:proofErr w:type="gramStart"/>
      <w:r w:rsidRPr="00A622DF">
        <w:rPr>
          <w:szCs w:val="22"/>
          <w:lang w:eastAsia="ja-JP"/>
        </w:rPr>
        <w:t>et</w:t>
      </w:r>
      <w:proofErr w:type="gramEnd"/>
      <w:r w:rsidRPr="00A622DF">
        <w:rPr>
          <w:szCs w:val="22"/>
          <w:lang w:eastAsia="ja-JP"/>
        </w:rPr>
        <w:t xml:space="preserve">. al., “7680 × 4320 format test sequences for HVC”, m17173, </w:t>
      </w:r>
      <w:smartTag w:uri="urn:schemas-microsoft-com:office:smarttags" w:element="City">
        <w:r w:rsidRPr="00A622DF">
          <w:rPr>
            <w:szCs w:val="22"/>
            <w:lang w:eastAsia="ja-JP"/>
          </w:rPr>
          <w:t>Kyoto</w:t>
        </w:r>
      </w:smartTag>
      <w:r w:rsidRPr="00A622DF">
        <w:rPr>
          <w:szCs w:val="22"/>
          <w:lang w:eastAsia="ja-JP"/>
        </w:rPr>
        <w:t>, January 2010.</w:t>
      </w:r>
    </w:p>
    <w:p w:rsidR="005913C2" w:rsidRDefault="005913C2" w:rsidP="009234A5">
      <w:pPr>
        <w:jc w:val="both"/>
        <w:rPr>
          <w:szCs w:val="22"/>
          <w:lang w:eastAsia="ja-JP"/>
        </w:rPr>
      </w:pPr>
    </w:p>
    <w:p w:rsidR="005913C2" w:rsidRPr="002B191D" w:rsidRDefault="005913C2" w:rsidP="00E11923">
      <w:pPr>
        <w:pStyle w:val="Heading1"/>
      </w:pPr>
      <w:r w:rsidRPr="00E11923">
        <w:t>Patent</w:t>
      </w:r>
      <w:r w:rsidRPr="002B191D">
        <w:t xml:space="preserve"> rights declaration(s)</w:t>
      </w:r>
    </w:p>
    <w:p w:rsidR="005913C2" w:rsidRDefault="005913C2" w:rsidP="00380634">
      <w:pPr>
        <w:jc w:val="both"/>
        <w:rPr>
          <w:szCs w:val="22"/>
        </w:rPr>
      </w:pPr>
      <w:r w:rsidRPr="00BF4BAC">
        <w:rPr>
          <w:b/>
          <w:szCs w:val="22"/>
        </w:rPr>
        <w:t>Sony Corporation</w:t>
      </w:r>
      <w:r w:rsidRPr="00A01439">
        <w:rPr>
          <w:b/>
          <w:szCs w:val="22"/>
        </w:rPr>
        <w:t xml:space="preserve"> </w:t>
      </w:r>
      <w:r>
        <w:rPr>
          <w:b/>
          <w:szCs w:val="22"/>
          <w:lang w:eastAsia="ja-JP"/>
        </w:rPr>
        <w:t xml:space="preserve">and SHARP Corporation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5913C2" w:rsidRPr="009234A5" w:rsidRDefault="005913C2" w:rsidP="00380634">
      <w:pPr>
        <w:jc w:val="both"/>
        <w:rPr>
          <w:szCs w:val="22"/>
        </w:rPr>
      </w:pPr>
    </w:p>
    <w:sectPr w:rsidR="005913C2" w:rsidRPr="009234A5" w:rsidSect="00A01439">
      <w:footerReference w:type="default" r:id="rId1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339" w:rsidRDefault="00602339">
      <w:r>
        <w:separator/>
      </w:r>
    </w:p>
  </w:endnote>
  <w:endnote w:type="continuationSeparator" w:id="0">
    <w:p w:rsidR="00602339" w:rsidRDefault="006023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3C2" w:rsidRDefault="005913C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622DF">
      <w:rPr>
        <w:rStyle w:val="PageNumber"/>
      </w:rPr>
      <w:fldChar w:fldCharType="begin"/>
    </w:r>
    <w:r>
      <w:rPr>
        <w:rStyle w:val="PageNumber"/>
      </w:rPr>
      <w:instrText xml:space="preserve"> PAGE </w:instrText>
    </w:r>
    <w:r w:rsidR="00A622DF">
      <w:rPr>
        <w:rStyle w:val="PageNumber"/>
      </w:rPr>
      <w:fldChar w:fldCharType="separate"/>
    </w:r>
    <w:r w:rsidR="00480D69">
      <w:rPr>
        <w:rStyle w:val="PageNumber"/>
        <w:noProof/>
      </w:rPr>
      <w:t>1</w:t>
    </w:r>
    <w:r w:rsidR="00A622DF">
      <w:rPr>
        <w:rStyle w:val="PageNumber"/>
      </w:rPr>
      <w:fldChar w:fldCharType="end"/>
    </w:r>
    <w:r>
      <w:rPr>
        <w:rStyle w:val="PageNumber"/>
      </w:rPr>
      <w:tab/>
      <w:t xml:space="preserve">Date Saved: </w:t>
    </w:r>
    <w:r w:rsidR="00A622DF">
      <w:rPr>
        <w:rStyle w:val="PageNumber"/>
      </w:rPr>
      <w:fldChar w:fldCharType="begin"/>
    </w:r>
    <w:r>
      <w:rPr>
        <w:rStyle w:val="PageNumber"/>
      </w:rPr>
      <w:instrText xml:space="preserve"> SAVEDATE  \@ "yyyy-MM-dd"  \* MERGEFORMAT </w:instrText>
    </w:r>
    <w:r w:rsidR="00A622DF">
      <w:rPr>
        <w:rStyle w:val="PageNumber"/>
      </w:rPr>
      <w:fldChar w:fldCharType="separate"/>
    </w:r>
    <w:r w:rsidR="00480D69">
      <w:rPr>
        <w:rStyle w:val="PageNumber"/>
        <w:noProof/>
      </w:rPr>
      <w:t>2011-01-17</w:t>
    </w:r>
    <w:r w:rsidR="00A622D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339" w:rsidRDefault="00602339">
      <w:r>
        <w:separator/>
      </w:r>
    </w:p>
  </w:footnote>
  <w:footnote w:type="continuationSeparator" w:id="0">
    <w:p w:rsidR="00602339" w:rsidRDefault="006023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34A4454D"/>
    <w:multiLevelType w:val="hybridMultilevel"/>
    <w:tmpl w:val="B4C0D23C"/>
    <w:lvl w:ilvl="0" w:tplc="E2E86C98">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0">
    <w:nsid w:val="79DF273B"/>
    <w:multiLevelType w:val="hybridMultilevel"/>
    <w:tmpl w:val="9D30C7C6"/>
    <w:lvl w:ilvl="0" w:tplc="0C58DDD2">
      <w:start w:val="1"/>
      <w:numFmt w:val="decimal"/>
      <w:lvlText w:val="[%1] "/>
      <w:lvlJc w:val="left"/>
      <w:pPr>
        <w:tabs>
          <w:tab w:val="num" w:pos="420"/>
        </w:tabs>
        <w:ind w:left="420" w:hanging="420"/>
      </w:pPr>
      <w:rPr>
        <w:rFonts w:cs="Times New Roman" w:hint="eastAsia"/>
        <w:b w:val="0"/>
        <w:i w:val="0"/>
        <w:spacing w:val="0"/>
        <w:position w:val="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27437"/>
    <w:rsid w:val="00030693"/>
    <w:rsid w:val="000458BC"/>
    <w:rsid w:val="00045C41"/>
    <w:rsid w:val="00046C03"/>
    <w:rsid w:val="0007614F"/>
    <w:rsid w:val="0008161D"/>
    <w:rsid w:val="00090579"/>
    <w:rsid w:val="000B1C6B"/>
    <w:rsid w:val="000C09AC"/>
    <w:rsid w:val="000C0BC0"/>
    <w:rsid w:val="000E00F3"/>
    <w:rsid w:val="000F158C"/>
    <w:rsid w:val="00124E38"/>
    <w:rsid w:val="0012580B"/>
    <w:rsid w:val="0013316A"/>
    <w:rsid w:val="0013526E"/>
    <w:rsid w:val="00137A2F"/>
    <w:rsid w:val="0015525D"/>
    <w:rsid w:val="00155D32"/>
    <w:rsid w:val="001564E2"/>
    <w:rsid w:val="00171371"/>
    <w:rsid w:val="00175A24"/>
    <w:rsid w:val="00187E58"/>
    <w:rsid w:val="001A297E"/>
    <w:rsid w:val="001A368E"/>
    <w:rsid w:val="001A7329"/>
    <w:rsid w:val="001B4E28"/>
    <w:rsid w:val="001C3525"/>
    <w:rsid w:val="001D1BD2"/>
    <w:rsid w:val="001D34B1"/>
    <w:rsid w:val="001D7542"/>
    <w:rsid w:val="001E02BE"/>
    <w:rsid w:val="001E1FD1"/>
    <w:rsid w:val="001E3B37"/>
    <w:rsid w:val="001E3E5A"/>
    <w:rsid w:val="001E4C5C"/>
    <w:rsid w:val="001F2594"/>
    <w:rsid w:val="002003DA"/>
    <w:rsid w:val="00200507"/>
    <w:rsid w:val="00201234"/>
    <w:rsid w:val="00204D84"/>
    <w:rsid w:val="00206460"/>
    <w:rsid w:val="002069B4"/>
    <w:rsid w:val="00215DFC"/>
    <w:rsid w:val="002212DF"/>
    <w:rsid w:val="002226E4"/>
    <w:rsid w:val="00227BA7"/>
    <w:rsid w:val="00233902"/>
    <w:rsid w:val="00275BCF"/>
    <w:rsid w:val="00292257"/>
    <w:rsid w:val="002A54E0"/>
    <w:rsid w:val="002B1595"/>
    <w:rsid w:val="002B191D"/>
    <w:rsid w:val="002D0AF6"/>
    <w:rsid w:val="002D7183"/>
    <w:rsid w:val="002E5810"/>
    <w:rsid w:val="002F164D"/>
    <w:rsid w:val="00300F21"/>
    <w:rsid w:val="00306206"/>
    <w:rsid w:val="00320EF2"/>
    <w:rsid w:val="00327C56"/>
    <w:rsid w:val="003315A1"/>
    <w:rsid w:val="003373EC"/>
    <w:rsid w:val="00337804"/>
    <w:rsid w:val="003706CC"/>
    <w:rsid w:val="00380634"/>
    <w:rsid w:val="003A0F68"/>
    <w:rsid w:val="003A2D8E"/>
    <w:rsid w:val="003C20E4"/>
    <w:rsid w:val="003C73CC"/>
    <w:rsid w:val="003E5A42"/>
    <w:rsid w:val="003E6F90"/>
    <w:rsid w:val="003F0CD1"/>
    <w:rsid w:val="003F5D0F"/>
    <w:rsid w:val="00403342"/>
    <w:rsid w:val="00414101"/>
    <w:rsid w:val="00433DDB"/>
    <w:rsid w:val="00437619"/>
    <w:rsid w:val="00453C18"/>
    <w:rsid w:val="00467CF6"/>
    <w:rsid w:val="004806AD"/>
    <w:rsid w:val="00480D69"/>
    <w:rsid w:val="004B210C"/>
    <w:rsid w:val="004C7DA3"/>
    <w:rsid w:val="004D405F"/>
    <w:rsid w:val="004F61E3"/>
    <w:rsid w:val="0051015C"/>
    <w:rsid w:val="00524B16"/>
    <w:rsid w:val="00530805"/>
    <w:rsid w:val="00531AE9"/>
    <w:rsid w:val="00542757"/>
    <w:rsid w:val="00566E27"/>
    <w:rsid w:val="00567EC7"/>
    <w:rsid w:val="00570013"/>
    <w:rsid w:val="00571B6C"/>
    <w:rsid w:val="00584D75"/>
    <w:rsid w:val="00586A6B"/>
    <w:rsid w:val="00586F8B"/>
    <w:rsid w:val="005913C2"/>
    <w:rsid w:val="005A33A1"/>
    <w:rsid w:val="005C385F"/>
    <w:rsid w:val="005F6F1B"/>
    <w:rsid w:val="00600CA1"/>
    <w:rsid w:val="00602339"/>
    <w:rsid w:val="00624B33"/>
    <w:rsid w:val="00630AA2"/>
    <w:rsid w:val="00646707"/>
    <w:rsid w:val="00650B40"/>
    <w:rsid w:val="00664DCF"/>
    <w:rsid w:val="0069042C"/>
    <w:rsid w:val="006B33F3"/>
    <w:rsid w:val="006C19E4"/>
    <w:rsid w:val="006C5D39"/>
    <w:rsid w:val="006E2810"/>
    <w:rsid w:val="006E5417"/>
    <w:rsid w:val="006F1290"/>
    <w:rsid w:val="006F649A"/>
    <w:rsid w:val="007001B0"/>
    <w:rsid w:val="007002DA"/>
    <w:rsid w:val="00712F60"/>
    <w:rsid w:val="00720E3B"/>
    <w:rsid w:val="0072591E"/>
    <w:rsid w:val="007356E9"/>
    <w:rsid w:val="00736F7F"/>
    <w:rsid w:val="0074172A"/>
    <w:rsid w:val="00745F6B"/>
    <w:rsid w:val="0074679E"/>
    <w:rsid w:val="00746E09"/>
    <w:rsid w:val="0075585E"/>
    <w:rsid w:val="00774E27"/>
    <w:rsid w:val="00775F1B"/>
    <w:rsid w:val="007768FF"/>
    <w:rsid w:val="007824D3"/>
    <w:rsid w:val="00784232"/>
    <w:rsid w:val="007844F4"/>
    <w:rsid w:val="00796EE3"/>
    <w:rsid w:val="007A7D29"/>
    <w:rsid w:val="007A7E29"/>
    <w:rsid w:val="007B0AF1"/>
    <w:rsid w:val="007C5759"/>
    <w:rsid w:val="007C727F"/>
    <w:rsid w:val="007D5EDD"/>
    <w:rsid w:val="007F1F8B"/>
    <w:rsid w:val="00811348"/>
    <w:rsid w:val="00811655"/>
    <w:rsid w:val="008206C8"/>
    <w:rsid w:val="00851285"/>
    <w:rsid w:val="00874A6C"/>
    <w:rsid w:val="00876C65"/>
    <w:rsid w:val="00890C75"/>
    <w:rsid w:val="008A4B4C"/>
    <w:rsid w:val="008C239F"/>
    <w:rsid w:val="008D7270"/>
    <w:rsid w:val="008D74A1"/>
    <w:rsid w:val="008E1AE1"/>
    <w:rsid w:val="008F3DB2"/>
    <w:rsid w:val="00907757"/>
    <w:rsid w:val="009212B0"/>
    <w:rsid w:val="00923014"/>
    <w:rsid w:val="009234A5"/>
    <w:rsid w:val="009336F7"/>
    <w:rsid w:val="009374A7"/>
    <w:rsid w:val="00940593"/>
    <w:rsid w:val="00941C10"/>
    <w:rsid w:val="009473E6"/>
    <w:rsid w:val="00954FCF"/>
    <w:rsid w:val="0099518F"/>
    <w:rsid w:val="00997E30"/>
    <w:rsid w:val="009A212B"/>
    <w:rsid w:val="009A523D"/>
    <w:rsid w:val="009A6965"/>
    <w:rsid w:val="009D42EC"/>
    <w:rsid w:val="009E0597"/>
    <w:rsid w:val="009F0A51"/>
    <w:rsid w:val="009F22B5"/>
    <w:rsid w:val="009F496B"/>
    <w:rsid w:val="00A01439"/>
    <w:rsid w:val="00A02E61"/>
    <w:rsid w:val="00A05CFF"/>
    <w:rsid w:val="00A45276"/>
    <w:rsid w:val="00A528EF"/>
    <w:rsid w:val="00A53787"/>
    <w:rsid w:val="00A56B97"/>
    <w:rsid w:val="00A6093D"/>
    <w:rsid w:val="00A622DF"/>
    <w:rsid w:val="00A76601"/>
    <w:rsid w:val="00A76A6D"/>
    <w:rsid w:val="00A83253"/>
    <w:rsid w:val="00A86824"/>
    <w:rsid w:val="00A92858"/>
    <w:rsid w:val="00AA6E84"/>
    <w:rsid w:val="00AB0E0A"/>
    <w:rsid w:val="00AE341B"/>
    <w:rsid w:val="00AE6140"/>
    <w:rsid w:val="00AE64A3"/>
    <w:rsid w:val="00AE67D4"/>
    <w:rsid w:val="00B04AF2"/>
    <w:rsid w:val="00B07CA7"/>
    <w:rsid w:val="00B1279A"/>
    <w:rsid w:val="00B20A24"/>
    <w:rsid w:val="00B21108"/>
    <w:rsid w:val="00B5222E"/>
    <w:rsid w:val="00B53609"/>
    <w:rsid w:val="00B61C96"/>
    <w:rsid w:val="00B73A2A"/>
    <w:rsid w:val="00B94A1D"/>
    <w:rsid w:val="00B94B06"/>
    <w:rsid w:val="00B94C28"/>
    <w:rsid w:val="00BC0229"/>
    <w:rsid w:val="00BC10BA"/>
    <w:rsid w:val="00BC2B13"/>
    <w:rsid w:val="00BC5AFD"/>
    <w:rsid w:val="00BC6C88"/>
    <w:rsid w:val="00BD4A20"/>
    <w:rsid w:val="00BE0570"/>
    <w:rsid w:val="00BF4BAC"/>
    <w:rsid w:val="00C0609D"/>
    <w:rsid w:val="00C06C49"/>
    <w:rsid w:val="00C0735D"/>
    <w:rsid w:val="00C115AB"/>
    <w:rsid w:val="00C2656D"/>
    <w:rsid w:val="00C26676"/>
    <w:rsid w:val="00C30249"/>
    <w:rsid w:val="00C37098"/>
    <w:rsid w:val="00C606C9"/>
    <w:rsid w:val="00C7760E"/>
    <w:rsid w:val="00C90650"/>
    <w:rsid w:val="00C96D8E"/>
    <w:rsid w:val="00C97161"/>
    <w:rsid w:val="00C97D78"/>
    <w:rsid w:val="00CC5A42"/>
    <w:rsid w:val="00CD0EAB"/>
    <w:rsid w:val="00CD108B"/>
    <w:rsid w:val="00CF2F04"/>
    <w:rsid w:val="00CF34DB"/>
    <w:rsid w:val="00CF3F3F"/>
    <w:rsid w:val="00CF558F"/>
    <w:rsid w:val="00D073E2"/>
    <w:rsid w:val="00D446EC"/>
    <w:rsid w:val="00D51BF0"/>
    <w:rsid w:val="00D55942"/>
    <w:rsid w:val="00D56A85"/>
    <w:rsid w:val="00D720E5"/>
    <w:rsid w:val="00D807BF"/>
    <w:rsid w:val="00D92B50"/>
    <w:rsid w:val="00DA7887"/>
    <w:rsid w:val="00DB10D4"/>
    <w:rsid w:val="00DB2C26"/>
    <w:rsid w:val="00DC2AD4"/>
    <w:rsid w:val="00DE6B43"/>
    <w:rsid w:val="00E00F9C"/>
    <w:rsid w:val="00E06A8E"/>
    <w:rsid w:val="00E11923"/>
    <w:rsid w:val="00E262D4"/>
    <w:rsid w:val="00E36250"/>
    <w:rsid w:val="00E50916"/>
    <w:rsid w:val="00E54511"/>
    <w:rsid w:val="00E54A87"/>
    <w:rsid w:val="00E569D7"/>
    <w:rsid w:val="00E61DAC"/>
    <w:rsid w:val="00E73D86"/>
    <w:rsid w:val="00E749CC"/>
    <w:rsid w:val="00E75FE3"/>
    <w:rsid w:val="00E7689D"/>
    <w:rsid w:val="00E82A7D"/>
    <w:rsid w:val="00E82B27"/>
    <w:rsid w:val="00E83D2A"/>
    <w:rsid w:val="00EB7AB1"/>
    <w:rsid w:val="00EF48CC"/>
    <w:rsid w:val="00F24A55"/>
    <w:rsid w:val="00F37562"/>
    <w:rsid w:val="00F62EB0"/>
    <w:rsid w:val="00F635CF"/>
    <w:rsid w:val="00F706FD"/>
    <w:rsid w:val="00F73032"/>
    <w:rsid w:val="00F7382D"/>
    <w:rsid w:val="00F759C0"/>
    <w:rsid w:val="00F848FC"/>
    <w:rsid w:val="00F9282A"/>
    <w:rsid w:val="00F96BAD"/>
    <w:rsid w:val="00FA1110"/>
    <w:rsid w:val="00FB09AC"/>
    <w:rsid w:val="00FB0E84"/>
    <w:rsid w:val="00FD01C2"/>
    <w:rsid w:val="00FD04EC"/>
    <w:rsid w:val="00FD672E"/>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3DB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FD04EC"/>
    <w:pPr>
      <w:tabs>
        <w:tab w:val="center" w:pos="4320"/>
        <w:tab w:val="right" w:pos="8640"/>
      </w:tabs>
    </w:pPr>
  </w:style>
  <w:style w:type="character" w:customStyle="1" w:styleId="HeaderChar">
    <w:name w:val="Header Char"/>
    <w:basedOn w:val="DefaultParagraphFont"/>
    <w:link w:val="Header"/>
    <w:uiPriority w:val="99"/>
    <w:semiHidden/>
    <w:locked/>
    <w:rsid w:val="008F3DB2"/>
    <w:rPr>
      <w:rFonts w:cs="Times New Roman"/>
      <w:sz w:val="20"/>
      <w:szCs w:val="20"/>
    </w:rPr>
  </w:style>
  <w:style w:type="paragraph" w:styleId="Footer">
    <w:name w:val="footer"/>
    <w:basedOn w:val="Normal"/>
    <w:link w:val="FooterChar"/>
    <w:uiPriority w:val="99"/>
    <w:rsid w:val="00FD04EC"/>
    <w:pPr>
      <w:tabs>
        <w:tab w:val="center" w:pos="4320"/>
        <w:tab w:val="right" w:pos="8640"/>
      </w:tabs>
    </w:pPr>
  </w:style>
  <w:style w:type="character" w:customStyle="1" w:styleId="FooterChar">
    <w:name w:val="Footer Char"/>
    <w:basedOn w:val="DefaultParagraphFont"/>
    <w:link w:val="Footer"/>
    <w:uiPriority w:val="99"/>
    <w:semiHidden/>
    <w:locked/>
    <w:rsid w:val="008F3DB2"/>
    <w:rPr>
      <w:rFonts w:cs="Times New Roman"/>
      <w:sz w:val="20"/>
      <w:szCs w:val="20"/>
    </w:rPr>
  </w:style>
  <w:style w:type="character" w:styleId="PageNumber">
    <w:name w:val="page number"/>
    <w:basedOn w:val="DefaultParagraphFont"/>
    <w:uiPriority w:val="99"/>
    <w:rsid w:val="00FD04EC"/>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3DB2"/>
    <w:rPr>
      <w:rFonts w:cs="Times New Roman"/>
      <w:sz w:val="2"/>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table" w:styleId="TableGrid">
    <w:name w:val="Table Grid"/>
    <w:basedOn w:val="TableNormal"/>
    <w:uiPriority w:val="99"/>
    <w:rsid w:val="0081165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qFormat/>
    <w:rsid w:val="001D34B1"/>
    <w:rPr>
      <w:b/>
      <w:bCs/>
      <w:sz w:val="20"/>
    </w:rPr>
  </w:style>
  <w:style w:type="character" w:customStyle="1" w:styleId="apple-style-span">
    <w:name w:val="apple-style-span"/>
    <w:basedOn w:val="DefaultParagraphFont"/>
    <w:uiPriority w:val="99"/>
    <w:rsid w:val="00201234"/>
    <w:rPr>
      <w:rFonts w:cs="Times New Roman"/>
    </w:rPr>
  </w:style>
  <w:style w:type="character" w:customStyle="1" w:styleId="apple-converted-space">
    <w:name w:val="apple-converted-space"/>
    <w:basedOn w:val="DefaultParagraphFont"/>
    <w:uiPriority w:val="99"/>
    <w:rsid w:val="00201234"/>
    <w:rPr>
      <w:rFonts w:cs="Times New Roman"/>
    </w:rPr>
  </w:style>
  <w:style w:type="character" w:customStyle="1" w:styleId="il">
    <w:name w:val="il"/>
    <w:basedOn w:val="DefaultParagraphFont"/>
    <w:uiPriority w:val="99"/>
    <w:rsid w:val="00201234"/>
    <w:rPr>
      <w:rFonts w:cs="Times New Roman"/>
    </w:rPr>
  </w:style>
</w:styles>
</file>

<file path=word/webSettings.xml><?xml version="1.0" encoding="utf-8"?>
<w:webSettings xmlns:r="http://schemas.openxmlformats.org/officeDocument/2006/relationships" xmlns:w="http://schemas.openxmlformats.org/wordprocessingml/2006/main">
  <w:divs>
    <w:div w:id="2082364598">
      <w:marLeft w:val="0"/>
      <w:marRight w:val="0"/>
      <w:marTop w:val="0"/>
      <w:marBottom w:val="0"/>
      <w:divBdr>
        <w:top w:val="none" w:sz="0" w:space="0" w:color="auto"/>
        <w:left w:val="none" w:sz="0" w:space="0" w:color="auto"/>
        <w:bottom w:val="none" w:sz="0" w:space="0" w:color="auto"/>
        <w:right w:val="none" w:sz="0" w:space="0" w:color="auto"/>
      </w:divBdr>
    </w:div>
    <w:div w:id="2082364599">
      <w:marLeft w:val="0"/>
      <w:marRight w:val="0"/>
      <w:marTop w:val="0"/>
      <w:marBottom w:val="0"/>
      <w:divBdr>
        <w:top w:val="none" w:sz="0" w:space="0" w:color="auto"/>
        <w:left w:val="none" w:sz="0" w:space="0" w:color="auto"/>
        <w:bottom w:val="none" w:sz="0" w:space="0" w:color="auto"/>
        <w:right w:val="none" w:sz="0" w:space="0" w:color="auto"/>
      </w:divBdr>
    </w:div>
    <w:div w:id="2082364600">
      <w:marLeft w:val="0"/>
      <w:marRight w:val="0"/>
      <w:marTop w:val="0"/>
      <w:marBottom w:val="0"/>
      <w:divBdr>
        <w:top w:val="none" w:sz="0" w:space="0" w:color="auto"/>
        <w:left w:val="none" w:sz="0" w:space="0" w:color="auto"/>
        <w:bottom w:val="none" w:sz="0" w:space="0" w:color="auto"/>
        <w:right w:val="none" w:sz="0" w:space="0" w:color="auto"/>
      </w:divBdr>
    </w:div>
    <w:div w:id="2082364601">
      <w:marLeft w:val="0"/>
      <w:marRight w:val="0"/>
      <w:marTop w:val="0"/>
      <w:marBottom w:val="0"/>
      <w:divBdr>
        <w:top w:val="none" w:sz="0" w:space="0" w:color="auto"/>
        <w:left w:val="none" w:sz="0" w:space="0" w:color="auto"/>
        <w:bottom w:val="none" w:sz="0" w:space="0" w:color="auto"/>
        <w:right w:val="none" w:sz="0" w:space="0" w:color="auto"/>
      </w:divBdr>
    </w:div>
    <w:div w:id="2082364602">
      <w:marLeft w:val="0"/>
      <w:marRight w:val="0"/>
      <w:marTop w:val="0"/>
      <w:marBottom w:val="0"/>
      <w:divBdr>
        <w:top w:val="none" w:sz="0" w:space="0" w:color="auto"/>
        <w:left w:val="none" w:sz="0" w:space="0" w:color="auto"/>
        <w:bottom w:val="none" w:sz="0" w:space="0" w:color="auto"/>
        <w:right w:val="none" w:sz="0" w:space="0" w:color="auto"/>
      </w:divBdr>
    </w:div>
    <w:div w:id="2082364603">
      <w:marLeft w:val="0"/>
      <w:marRight w:val="0"/>
      <w:marTop w:val="0"/>
      <w:marBottom w:val="0"/>
      <w:divBdr>
        <w:top w:val="none" w:sz="0" w:space="0" w:color="auto"/>
        <w:left w:val="none" w:sz="0" w:space="0" w:color="auto"/>
        <w:bottom w:val="none" w:sz="0" w:space="0" w:color="auto"/>
        <w:right w:val="none" w:sz="0" w:space="0" w:color="auto"/>
      </w:divBdr>
    </w:div>
    <w:div w:id="20823646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hao@bu.jp.nec.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k-senzaki@bp.jp.nec.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virginie.drugeon@eu.panasonic.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5" Type="http://schemas.openxmlformats.org/officeDocument/2006/relationships/footnotes" Target="footnotes.xml"/><Relationship Id="rId15" Type="http://schemas.openxmlformats.org/officeDocument/2006/relationships/hyperlink" Target="mailto:y-senda@bc.jp.nec.com" TargetMode="Externa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tajime@ak.jp.n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1216</Words>
  <Characters>7053</Characters>
  <Application>Microsoft Office Word</Application>
  <DocSecurity>0</DocSecurity>
  <Lines>58</Lines>
  <Paragraphs>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Toshiba</Company>
  <LinksUpToDate>false</LinksUpToDate>
  <CharactersWithSpaces>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7</cp:revision>
  <cp:lastPrinted>2011-01-12T00:45:00Z</cp:lastPrinted>
  <dcterms:created xsi:type="dcterms:W3CDTF">2011-01-17T17:24:00Z</dcterms:created>
  <dcterms:modified xsi:type="dcterms:W3CDTF">2011-01-20T22:39:00Z</dcterms:modified>
</cp:coreProperties>
</file>