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AE341B">
        <w:tc>
          <w:tcPr>
            <w:tcW w:w="6408" w:type="dxa"/>
          </w:tcPr>
          <w:p w:rsidR="006C5D39" w:rsidRPr="00AE341B" w:rsidRDefault="005B27BA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noProof/>
                <w:szCs w:val="22"/>
              </w:rPr>
              <w:pict>
                <v:group id="_x0000_s1026" style="position:absolute;margin-left:-4.15pt;margin-top:-27.5pt;width:23.3pt;height:24.6pt;z-index:251656704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 w:rsidR="007C727F">
              <w:rPr>
                <w:b/>
                <w:noProof/>
                <w:szCs w:val="22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1905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C727F">
              <w:rPr>
                <w:b/>
                <w:noProof/>
                <w:szCs w:val="22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1905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61DAC" w:rsidRPr="00AE341B">
              <w:rPr>
                <w:b/>
                <w:szCs w:val="22"/>
              </w:rPr>
              <w:t xml:space="preserve">Joint </w:t>
            </w:r>
            <w:r w:rsidR="006C5D39" w:rsidRPr="00AE341B">
              <w:rPr>
                <w:b/>
                <w:szCs w:val="22"/>
              </w:rPr>
              <w:t>Collaborative</w:t>
            </w:r>
            <w:r w:rsidR="00E61DAC" w:rsidRPr="00AE341B">
              <w:rPr>
                <w:b/>
                <w:szCs w:val="22"/>
              </w:rPr>
              <w:t xml:space="preserve"> Team </w:t>
            </w:r>
            <w:r w:rsidR="006C5D39" w:rsidRPr="00AE341B">
              <w:rPr>
                <w:b/>
                <w:szCs w:val="22"/>
              </w:rPr>
              <w:t>on Video Coding (JCT-VC)</w:t>
            </w:r>
          </w:p>
          <w:p w:rsidR="00E61DAC" w:rsidRPr="00AE341B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szCs w:val="22"/>
              </w:rPr>
              <w:t xml:space="preserve">of </w:t>
            </w:r>
            <w:r w:rsidR="007F1F8B" w:rsidRPr="00AE341B">
              <w:rPr>
                <w:b/>
                <w:szCs w:val="22"/>
              </w:rPr>
              <w:t>ITU-T SG16 WP3 and ISO/IEC JTC1/SC29/WG11</w:t>
            </w:r>
          </w:p>
          <w:p w:rsidR="00E61DAC" w:rsidRPr="00AE341B" w:rsidRDefault="00630AA2" w:rsidP="00630AA2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szCs w:val="22"/>
              </w:rPr>
              <w:t>4th</w:t>
            </w:r>
            <w:r w:rsidR="00E61DAC" w:rsidRPr="00AE341B">
              <w:rPr>
                <w:szCs w:val="22"/>
              </w:rPr>
              <w:t xml:space="preserve"> Meeting: </w:t>
            </w:r>
            <w:proofErr w:type="spellStart"/>
            <w:r>
              <w:rPr>
                <w:szCs w:val="22"/>
              </w:rPr>
              <w:t>Daegu</w:t>
            </w:r>
            <w:proofErr w:type="spellEnd"/>
            <w:r w:rsidR="003F5D0F" w:rsidRPr="00AE341B">
              <w:rPr>
                <w:szCs w:val="22"/>
              </w:rPr>
              <w:t xml:space="preserve">, </w:t>
            </w:r>
            <w:r>
              <w:rPr>
                <w:szCs w:val="22"/>
              </w:rPr>
              <w:t>KR</w:t>
            </w:r>
            <w:r w:rsidR="00A6093D" w:rsidRPr="00AE341B">
              <w:rPr>
                <w:szCs w:val="22"/>
              </w:rPr>
              <w:t>,</w:t>
            </w:r>
            <w:r w:rsidR="00664DCF" w:rsidRPr="00AE341B">
              <w:rPr>
                <w:szCs w:val="22"/>
              </w:rPr>
              <w:t xml:space="preserve"> </w:t>
            </w:r>
            <w:r>
              <w:rPr>
                <w:szCs w:val="22"/>
              </w:rPr>
              <w:t>20</w:t>
            </w:r>
            <w:r w:rsidR="00171371" w:rsidRPr="00AE341B">
              <w:rPr>
                <w:szCs w:val="22"/>
              </w:rPr>
              <w:t>-</w:t>
            </w:r>
            <w:r>
              <w:rPr>
                <w:szCs w:val="22"/>
              </w:rPr>
              <w:t>28</w:t>
            </w:r>
            <w:r w:rsidR="001C3525" w:rsidRPr="00AE341B">
              <w:rPr>
                <w:szCs w:val="22"/>
              </w:rPr>
              <w:t xml:space="preserve"> </w:t>
            </w:r>
            <w:r>
              <w:rPr>
                <w:szCs w:val="22"/>
              </w:rPr>
              <w:t>January</w:t>
            </w:r>
            <w:r w:rsidR="00E61DAC" w:rsidRPr="00AE341B">
              <w:rPr>
                <w:szCs w:val="22"/>
              </w:rPr>
              <w:t>, 20</w:t>
            </w:r>
            <w:r w:rsidR="007F1F8B" w:rsidRPr="00AE341B">
              <w:rPr>
                <w:szCs w:val="22"/>
              </w:rPr>
              <w:t>1</w:t>
            </w:r>
            <w:r>
              <w:rPr>
                <w:szCs w:val="22"/>
              </w:rPr>
              <w:t>1</w:t>
            </w:r>
          </w:p>
        </w:tc>
        <w:tc>
          <w:tcPr>
            <w:tcW w:w="3168" w:type="dxa"/>
          </w:tcPr>
          <w:p w:rsidR="008A4B4C" w:rsidRPr="00630AA2" w:rsidRDefault="00E61DAC" w:rsidP="008A4B4C">
            <w:pPr>
              <w:tabs>
                <w:tab w:val="left" w:pos="7200"/>
              </w:tabs>
              <w:rPr>
                <w:u w:val="single"/>
              </w:rPr>
            </w:pPr>
            <w:r w:rsidRPr="00AE341B">
              <w:t>Document</w:t>
            </w:r>
            <w:r w:rsidR="006C5D39" w:rsidRPr="00AE341B">
              <w:t>: JC</w:t>
            </w:r>
            <w:r w:rsidRPr="00AE341B">
              <w:t>T</w:t>
            </w:r>
            <w:r w:rsidR="006C5D39" w:rsidRPr="00AE341B">
              <w:t>VC</w:t>
            </w:r>
            <w:r w:rsidRPr="00AE341B">
              <w:t>-</w:t>
            </w:r>
            <w:r w:rsidR="00630AA2">
              <w:t>D</w:t>
            </w:r>
            <w:r w:rsidR="003E3136">
              <w:rPr>
                <w:u w:val="single"/>
              </w:rPr>
              <w:t>258</w:t>
            </w:r>
          </w:p>
        </w:tc>
      </w:tr>
    </w:tbl>
    <w:p w:rsidR="00E61DAC" w:rsidRPr="00AE341B" w:rsidRDefault="00E61DAC" w:rsidP="00531AE9">
      <w:pPr>
        <w:spacing w:before="0"/>
      </w:pPr>
    </w:p>
    <w:tbl>
      <w:tblPr>
        <w:tblW w:w="0" w:type="auto"/>
        <w:tblLayout w:type="fixed"/>
        <w:tblLook w:val="0000"/>
      </w:tblPr>
      <w:tblGrid>
        <w:gridCol w:w="1458"/>
        <w:gridCol w:w="4050"/>
        <w:gridCol w:w="3420"/>
        <w:gridCol w:w="648"/>
      </w:tblGrid>
      <w:tr w:rsidR="00A528EF" w:rsidRPr="00AE341B">
        <w:tc>
          <w:tcPr>
            <w:tcW w:w="1458" w:type="dxa"/>
          </w:tcPr>
          <w:p w:rsidR="00A528EF" w:rsidRPr="00AE341B" w:rsidRDefault="00A528EF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Title:</w:t>
            </w:r>
          </w:p>
        </w:tc>
        <w:tc>
          <w:tcPr>
            <w:tcW w:w="8118" w:type="dxa"/>
            <w:gridSpan w:val="3"/>
          </w:tcPr>
          <w:p w:rsidR="00A528EF" w:rsidRPr="00AE341B" w:rsidRDefault="009C3E35" w:rsidP="0029339A">
            <w:pPr>
              <w:spacing w:before="60" w:after="60"/>
              <w:rPr>
                <w:b/>
                <w:szCs w:val="22"/>
              </w:rPr>
            </w:pPr>
            <w:r>
              <w:rPr>
                <w:b/>
                <w:szCs w:val="22"/>
              </w:rPr>
              <w:t>CU Adaptive Quantization Syntax Change for Better Decoder pipelining</w:t>
            </w:r>
          </w:p>
        </w:tc>
      </w:tr>
      <w:tr w:rsidR="00A528EF" w:rsidRPr="00AE341B">
        <w:tc>
          <w:tcPr>
            <w:tcW w:w="1458" w:type="dxa"/>
          </w:tcPr>
          <w:p w:rsidR="00A528EF" w:rsidRPr="00AE341B" w:rsidRDefault="00A528EF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Status:</w:t>
            </w:r>
          </w:p>
        </w:tc>
        <w:tc>
          <w:tcPr>
            <w:tcW w:w="8118" w:type="dxa"/>
            <w:gridSpan w:val="3"/>
          </w:tcPr>
          <w:p w:rsidR="00A528EF" w:rsidRPr="00AE341B" w:rsidRDefault="00A528EF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 xml:space="preserve">Input Document to </w:t>
            </w:r>
            <w:r>
              <w:rPr>
                <w:szCs w:val="22"/>
              </w:rPr>
              <w:t>JCT-VC</w:t>
            </w:r>
          </w:p>
        </w:tc>
      </w:tr>
      <w:tr w:rsidR="00A528EF" w:rsidRPr="00AE341B">
        <w:tc>
          <w:tcPr>
            <w:tcW w:w="1458" w:type="dxa"/>
          </w:tcPr>
          <w:p w:rsidR="00A528EF" w:rsidRPr="00AE341B" w:rsidRDefault="00A528EF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Purpose:</w:t>
            </w:r>
          </w:p>
        </w:tc>
        <w:tc>
          <w:tcPr>
            <w:tcW w:w="8118" w:type="dxa"/>
            <w:gridSpan w:val="3"/>
          </w:tcPr>
          <w:p w:rsidR="00A528EF" w:rsidRPr="00AE341B" w:rsidRDefault="009C3E35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Proposal</w:t>
            </w:r>
          </w:p>
        </w:tc>
      </w:tr>
      <w:tr w:rsidR="00A528EF" w:rsidRPr="00AE341B" w:rsidTr="00A86824">
        <w:tc>
          <w:tcPr>
            <w:tcW w:w="1458" w:type="dxa"/>
          </w:tcPr>
          <w:p w:rsidR="00A528EF" w:rsidRPr="00AE341B" w:rsidRDefault="00A528EF" w:rsidP="00A86824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Author(s) or</w:t>
            </w:r>
            <w:r w:rsidRPr="00AE341B">
              <w:rPr>
                <w:i/>
                <w:szCs w:val="22"/>
              </w:rPr>
              <w:br/>
              <w:t>Contact(s):</w:t>
            </w:r>
          </w:p>
        </w:tc>
        <w:tc>
          <w:tcPr>
            <w:tcW w:w="4050" w:type="dxa"/>
          </w:tcPr>
          <w:p w:rsidR="00A528EF" w:rsidRPr="00AE341B" w:rsidRDefault="009C3E35" w:rsidP="00E7689D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 xml:space="preserve">L. Dong, W. Liu, </w:t>
            </w:r>
            <w:r w:rsidRPr="0051421F">
              <w:rPr>
                <w:rFonts w:hint="eastAsia"/>
                <w:szCs w:val="22"/>
                <w:lang w:eastAsia="ja-JP"/>
              </w:rPr>
              <w:t>K</w:t>
            </w:r>
            <w:r>
              <w:rPr>
                <w:szCs w:val="22"/>
                <w:lang w:eastAsia="ja-JP"/>
              </w:rPr>
              <w:t>.</w:t>
            </w:r>
            <w:r w:rsidRPr="0051421F">
              <w:rPr>
                <w:rFonts w:hint="eastAsia"/>
                <w:szCs w:val="22"/>
                <w:lang w:eastAsia="ja-JP"/>
              </w:rPr>
              <w:t xml:space="preserve"> Sato</w:t>
            </w:r>
            <w:r w:rsidR="00A528EF" w:rsidRPr="00AE341B">
              <w:rPr>
                <w:szCs w:val="22"/>
              </w:rPr>
              <w:br/>
            </w:r>
            <w:r w:rsidR="00A528EF">
              <w:rPr>
                <w:szCs w:val="22"/>
              </w:rPr>
              <w:t>1730 N 1st Street</w:t>
            </w:r>
            <w:r w:rsidR="00A528EF" w:rsidRPr="00AE341B">
              <w:rPr>
                <w:szCs w:val="22"/>
              </w:rPr>
              <w:br/>
            </w:r>
            <w:r w:rsidR="00A528EF">
              <w:rPr>
                <w:szCs w:val="22"/>
              </w:rPr>
              <w:t>San Jose, CA 95112</w:t>
            </w:r>
            <w:r w:rsidR="00A528EF" w:rsidRPr="00AE341B">
              <w:rPr>
                <w:szCs w:val="22"/>
              </w:rPr>
              <w:br/>
            </w:r>
          </w:p>
        </w:tc>
        <w:tc>
          <w:tcPr>
            <w:tcW w:w="3420" w:type="dxa"/>
          </w:tcPr>
          <w:p w:rsidR="00A528EF" w:rsidRPr="00AE341B" w:rsidRDefault="00A528EF" w:rsidP="009C3E35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br/>
              <w:t>Tel:</w:t>
            </w:r>
            <w:r>
              <w:rPr>
                <w:szCs w:val="22"/>
              </w:rPr>
              <w:t>(408) 352-4710</w:t>
            </w:r>
            <w:r w:rsidRPr="00AE341B">
              <w:rPr>
                <w:szCs w:val="22"/>
              </w:rPr>
              <w:br/>
              <w:t>Email:</w:t>
            </w:r>
            <w:r w:rsidR="009C3E35">
              <w:t xml:space="preserve"> </w:t>
            </w:r>
            <w:r w:rsidR="009C3E35">
              <w:rPr>
                <w:rStyle w:val="go"/>
              </w:rPr>
              <w:t>Wei.Liu@am.sony.com</w:t>
            </w:r>
          </w:p>
        </w:tc>
        <w:tc>
          <w:tcPr>
            <w:tcW w:w="648" w:type="dxa"/>
          </w:tcPr>
          <w:p w:rsidR="00A528EF" w:rsidRPr="00AE341B" w:rsidRDefault="00A528EF" w:rsidP="00A86824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br/>
            </w:r>
            <w:r w:rsidRPr="00AE341B">
              <w:rPr>
                <w:szCs w:val="22"/>
              </w:rPr>
              <w:br/>
            </w:r>
          </w:p>
        </w:tc>
      </w:tr>
      <w:tr w:rsidR="00A528EF" w:rsidRPr="00AE341B">
        <w:tc>
          <w:tcPr>
            <w:tcW w:w="1458" w:type="dxa"/>
          </w:tcPr>
          <w:p w:rsidR="00A528EF" w:rsidRPr="00AE341B" w:rsidRDefault="00A528EF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Source:</w:t>
            </w:r>
          </w:p>
        </w:tc>
        <w:tc>
          <w:tcPr>
            <w:tcW w:w="8118" w:type="dxa"/>
            <w:gridSpan w:val="3"/>
          </w:tcPr>
          <w:p w:rsidR="00A528EF" w:rsidRPr="00AE341B" w:rsidRDefault="00A528EF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 xml:space="preserve">Sony </w:t>
            </w:r>
            <w:r w:rsidR="003E3136">
              <w:rPr>
                <w:szCs w:val="22"/>
              </w:rPr>
              <w:t>Electronics Inc.</w:t>
            </w:r>
          </w:p>
        </w:tc>
      </w:tr>
    </w:tbl>
    <w:p w:rsidR="00E61DAC" w:rsidRPr="00AE341B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</w:rPr>
      </w:pPr>
      <w:r w:rsidRPr="00AE341B">
        <w:rPr>
          <w:szCs w:val="22"/>
          <w:u w:val="single"/>
        </w:rPr>
        <w:t>_____________________________</w:t>
      </w:r>
    </w:p>
    <w:p w:rsidR="009C3E35" w:rsidRDefault="009C3E35" w:rsidP="009C3E35">
      <w:pPr>
        <w:pStyle w:val="Heading1"/>
        <w:numPr>
          <w:ilvl w:val="0"/>
          <w:numId w:val="0"/>
        </w:numPr>
        <w:ind w:left="432" w:hanging="432"/>
      </w:pPr>
      <w:r w:rsidRPr="002B191D">
        <w:t>Abstract</w:t>
      </w:r>
    </w:p>
    <w:p w:rsidR="00FA42B7" w:rsidRPr="00FA42B7" w:rsidRDefault="00C7694F" w:rsidP="00FA42B7">
      <w:r>
        <w:t>The current HM adaptive quantization syntax places “</w:t>
      </w:r>
      <w:proofErr w:type="spellStart"/>
      <w:r>
        <w:t>dQP</w:t>
      </w:r>
      <w:proofErr w:type="spellEnd"/>
      <w:r>
        <w:t>” at the very end of each LCU when the whole LCU is not coded with SKIP mode.  Such syntax could introduce delay in decoding.  The proposed change is to place “</w:t>
      </w:r>
      <w:proofErr w:type="spellStart"/>
      <w:r>
        <w:t>dQP</w:t>
      </w:r>
      <w:proofErr w:type="spellEnd"/>
      <w:r>
        <w:t>” after the mode information of the 1</w:t>
      </w:r>
      <w:r w:rsidRPr="00C51740">
        <w:rPr>
          <w:vertAlign w:val="superscript"/>
        </w:rPr>
        <w:t>st</w:t>
      </w:r>
      <w:r>
        <w:t xml:space="preserve"> non-skipped CU in an LCU. The proposed change will avoid unnecessary decoder delay and avoid unnecessary signaling when an LCU is further partitioned but every sub-CU is then skipped.</w:t>
      </w:r>
    </w:p>
    <w:p w:rsidR="009C3E35" w:rsidRDefault="009C3E35" w:rsidP="009C3E35">
      <w:pPr>
        <w:pStyle w:val="Heading1"/>
        <w:ind w:left="432" w:hanging="432"/>
      </w:pPr>
      <w:bookmarkStart w:id="0" w:name="_Ref281906042"/>
      <w:r>
        <w:t xml:space="preserve">Overview of </w:t>
      </w:r>
      <w:bookmarkEnd w:id="0"/>
      <w:r>
        <w:t>Current DQP Syntax in HM</w:t>
      </w:r>
    </w:p>
    <w:p w:rsidR="009C3E35" w:rsidRDefault="009C3E35" w:rsidP="009C3E35">
      <w:r>
        <w:t xml:space="preserve">In the current HM syntax, if an LCU is not further split and coded in SKIP mode, no </w:t>
      </w:r>
      <w:proofErr w:type="spellStart"/>
      <w:r>
        <w:t>dQP</w:t>
      </w:r>
      <w:proofErr w:type="spellEnd"/>
      <w:r>
        <w:t xml:space="preserve"> is signaled; otherwise </w:t>
      </w:r>
      <w:proofErr w:type="spellStart"/>
      <w:r>
        <w:t>dQP</w:t>
      </w:r>
      <w:proofErr w:type="spellEnd"/>
      <w:r>
        <w:t xml:space="preserve"> is signaled in the </w:t>
      </w:r>
      <w:proofErr w:type="spellStart"/>
      <w:r>
        <w:t>bitstream</w:t>
      </w:r>
      <w:proofErr w:type="spellEnd"/>
      <w:r>
        <w:t xml:space="preserve"> following the last CU in the LCU. </w:t>
      </w:r>
      <w:r w:rsidR="005B27BA">
        <w:fldChar w:fldCharType="begin"/>
      </w:r>
      <w:r>
        <w:instrText xml:space="preserve"> REF _Ref282004645 \r \h </w:instrText>
      </w:r>
      <w:r w:rsidR="005B27BA">
        <w:fldChar w:fldCharType="separate"/>
      </w:r>
      <w:r>
        <w:t>Figure 1</w:t>
      </w:r>
      <w:r w:rsidR="005B27BA">
        <w:fldChar w:fldCharType="end"/>
      </w:r>
      <w:r>
        <w:t xml:space="preserve"> shows two example </w:t>
      </w:r>
      <w:proofErr w:type="spellStart"/>
      <w:r>
        <w:t>bitstream</w:t>
      </w:r>
      <w:proofErr w:type="spellEnd"/>
      <w:r>
        <w:t xml:space="preserve"> composition of LCU for the aforementioned two cases.</w:t>
      </w:r>
    </w:p>
    <w:p w:rsidR="009C3E35" w:rsidRPr="002B7613" w:rsidRDefault="009C3E35" w:rsidP="009C3E35">
      <w:pPr>
        <w:pStyle w:val="Caption"/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120" w:after="120"/>
        <w:jc w:val="center"/>
        <w:textAlignment w:val="auto"/>
        <w:rPr>
          <w:sz w:val="22"/>
          <w:szCs w:val="22"/>
        </w:rPr>
      </w:pPr>
      <w:bookmarkStart w:id="1" w:name="_Ref282004645"/>
      <w:r>
        <w:rPr>
          <w:sz w:val="22"/>
          <w:szCs w:val="22"/>
        </w:rPr>
        <w:t xml:space="preserve">Examples of </w:t>
      </w:r>
      <w:proofErr w:type="spellStart"/>
      <w:r>
        <w:rPr>
          <w:sz w:val="22"/>
          <w:szCs w:val="22"/>
        </w:rPr>
        <w:t>b</w:t>
      </w:r>
      <w:r w:rsidRPr="002B7613">
        <w:rPr>
          <w:sz w:val="22"/>
          <w:szCs w:val="22"/>
        </w:rPr>
        <w:t>itstream</w:t>
      </w:r>
      <w:proofErr w:type="spellEnd"/>
      <w:r w:rsidRPr="002B7613">
        <w:rPr>
          <w:sz w:val="22"/>
          <w:szCs w:val="22"/>
        </w:rPr>
        <w:t xml:space="preserve"> composition</w:t>
      </w:r>
      <w:bookmarkEnd w:id="1"/>
    </w:p>
    <w:p w:rsidR="009C3E35" w:rsidRDefault="009C3E35" w:rsidP="009C3E35">
      <w:pPr>
        <w:rPr>
          <w:noProof/>
          <w:lang w:eastAsia="zh-CN"/>
        </w:rPr>
      </w:pPr>
      <w:r>
        <w:rPr>
          <w:noProof/>
        </w:rPr>
        <w:drawing>
          <wp:inline distT="0" distB="0" distL="0" distR="0">
            <wp:extent cx="5940425" cy="2553335"/>
            <wp:effectExtent l="19050" t="0" r="3175" b="0"/>
            <wp:docPr id="3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53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E35" w:rsidRDefault="009C3E35" w:rsidP="009C3E35">
      <w:pPr>
        <w:rPr>
          <w:noProof/>
          <w:lang w:eastAsia="zh-CN"/>
        </w:rPr>
      </w:pPr>
      <w:r>
        <w:rPr>
          <w:noProof/>
          <w:lang w:eastAsia="zh-CN"/>
        </w:rPr>
        <w:t>Two disadvantages come with the current syntax as discussed below:</w:t>
      </w:r>
    </w:p>
    <w:p w:rsidR="009C3E35" w:rsidRDefault="009C3E35" w:rsidP="009C3E35">
      <w:pPr>
        <w:rPr>
          <w:noProof/>
          <w:lang w:eastAsia="zh-CN"/>
        </w:rPr>
      </w:pPr>
      <w:r>
        <w:rPr>
          <w:noProof/>
          <w:lang w:eastAsia="zh-CN"/>
        </w:rPr>
        <w:t>First, as HM encodes each CU withing an LCU in z order and interleaves their mode and coefficients, placing “dQP” at the end of an LCU could introduce delay in decoding. For example, after the coefficients C</w:t>
      </w:r>
      <w:r w:rsidRPr="0007055B">
        <w:rPr>
          <w:noProof/>
          <w:vertAlign w:val="subscript"/>
          <w:lang w:eastAsia="zh-CN"/>
        </w:rPr>
        <w:t>0</w:t>
      </w:r>
      <w:r>
        <w:rPr>
          <w:noProof/>
          <w:lang w:eastAsia="zh-CN"/>
        </w:rPr>
        <w:t xml:space="preserve"> are entropy decoded, reconstruction of CU</w:t>
      </w:r>
      <w:r w:rsidRPr="0007055B">
        <w:rPr>
          <w:noProof/>
          <w:vertAlign w:val="subscript"/>
          <w:lang w:eastAsia="zh-CN"/>
        </w:rPr>
        <w:t>0</w:t>
      </w:r>
      <w:r>
        <w:rPr>
          <w:noProof/>
          <w:lang w:eastAsia="zh-CN"/>
        </w:rPr>
        <w:t xml:space="preserve"> is still not possible because inverse quantization requires dQP to be available.</w:t>
      </w:r>
    </w:p>
    <w:p w:rsidR="009C3E35" w:rsidRPr="0007055B" w:rsidRDefault="009C3E35" w:rsidP="009C3E35">
      <w:r>
        <w:rPr>
          <w:noProof/>
          <w:lang w:eastAsia="zh-CN"/>
        </w:rPr>
        <w:lastRenderedPageBreak/>
        <w:t xml:space="preserve">And secondly, there may be cases where “dQP” is unnecessarily signaled. Such case includes when LCU is partitioned into multiple SKIP CU’s (see </w:t>
      </w:r>
      <w:r w:rsidR="005B27BA">
        <w:rPr>
          <w:noProof/>
          <w:lang w:eastAsia="zh-CN"/>
        </w:rPr>
        <w:fldChar w:fldCharType="begin"/>
      </w:r>
      <w:r>
        <w:rPr>
          <w:noProof/>
          <w:lang w:eastAsia="zh-CN"/>
        </w:rPr>
        <w:instrText xml:space="preserve"> REF _Ref282005717 \r \h </w:instrText>
      </w:r>
      <w:r w:rsidR="005B27BA">
        <w:rPr>
          <w:noProof/>
          <w:lang w:eastAsia="zh-CN"/>
        </w:rPr>
      </w:r>
      <w:r w:rsidR="005B27BA">
        <w:rPr>
          <w:noProof/>
          <w:lang w:eastAsia="zh-CN"/>
        </w:rPr>
        <w:fldChar w:fldCharType="separate"/>
      </w:r>
      <w:r>
        <w:rPr>
          <w:noProof/>
          <w:lang w:eastAsia="zh-CN"/>
        </w:rPr>
        <w:t>Figure 2</w:t>
      </w:r>
      <w:r w:rsidR="005B27BA">
        <w:rPr>
          <w:noProof/>
          <w:lang w:eastAsia="zh-CN"/>
        </w:rPr>
        <w:fldChar w:fldCharType="end"/>
      </w:r>
      <w:r>
        <w:rPr>
          <w:noProof/>
          <w:lang w:eastAsia="zh-CN"/>
        </w:rPr>
        <w:t xml:space="preserve"> for some examples).</w:t>
      </w:r>
    </w:p>
    <w:p w:rsidR="009C3E35" w:rsidRDefault="009C3E35" w:rsidP="009C3E35"/>
    <w:p w:rsidR="009C3E35" w:rsidRPr="00C51740" w:rsidRDefault="009C3E35" w:rsidP="009C3E35">
      <w:pPr>
        <w:pStyle w:val="Caption"/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120" w:after="120"/>
        <w:jc w:val="center"/>
        <w:textAlignment w:val="auto"/>
        <w:rPr>
          <w:sz w:val="22"/>
          <w:szCs w:val="22"/>
        </w:rPr>
      </w:pPr>
      <w:r>
        <w:tab/>
      </w:r>
      <w:bookmarkStart w:id="2" w:name="_Ref282005717"/>
      <w:r>
        <w:rPr>
          <w:sz w:val="22"/>
          <w:szCs w:val="22"/>
        </w:rPr>
        <w:t>Examples of LCU’s partitioned into multiple SKIP CU’s</w:t>
      </w:r>
      <w:bookmarkEnd w:id="2"/>
      <w:r>
        <w:rPr>
          <w:sz w:val="22"/>
          <w:szCs w:val="22"/>
        </w:rPr>
        <w:t xml:space="preserve"> (a cross in this figure shows CU’s encoded with SKIP mode)</w:t>
      </w:r>
    </w:p>
    <w:p w:rsidR="009C3E35" w:rsidRDefault="009C3E35" w:rsidP="009C3E35">
      <w:r>
        <w:rPr>
          <w:noProof/>
        </w:rPr>
        <w:drawing>
          <wp:inline distT="0" distB="0" distL="0" distR="0">
            <wp:extent cx="5936403" cy="3637280"/>
            <wp:effectExtent l="19050" t="0" r="7197" b="0"/>
            <wp:docPr id="3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6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403" cy="363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E35" w:rsidRPr="00761C2E" w:rsidRDefault="009C3E35" w:rsidP="009C3E35"/>
    <w:p w:rsidR="009C3E35" w:rsidRDefault="009C3E35" w:rsidP="009C3E35">
      <w:pPr>
        <w:pStyle w:val="Heading1"/>
        <w:ind w:left="432" w:hanging="432"/>
        <w:rPr>
          <w:b w:val="0"/>
          <w:bCs w:val="0"/>
        </w:rPr>
      </w:pPr>
      <w:bookmarkStart w:id="3" w:name="_Ref281915640"/>
      <w:r>
        <w:t>Proposed Approach</w:t>
      </w:r>
      <w:bookmarkEnd w:id="3"/>
    </w:p>
    <w:p w:rsidR="009C3E35" w:rsidRDefault="009C3E35" w:rsidP="009C3E35">
      <w:r>
        <w:t xml:space="preserve">In order to reduce the decoder delay as well as save on unnecessary </w:t>
      </w:r>
      <w:proofErr w:type="spellStart"/>
      <w:r>
        <w:t>dQP</w:t>
      </w:r>
      <w:proofErr w:type="spellEnd"/>
      <w:r>
        <w:t xml:space="preserve"> signaling, we propose to place </w:t>
      </w:r>
      <w:proofErr w:type="spellStart"/>
      <w:r>
        <w:t>dQP</w:t>
      </w:r>
      <w:proofErr w:type="spellEnd"/>
      <w:r>
        <w:t xml:space="preserve"> signaling after the mode information of the 1</w:t>
      </w:r>
      <w:r w:rsidRPr="00C51740">
        <w:rPr>
          <w:vertAlign w:val="superscript"/>
        </w:rPr>
        <w:t>st</w:t>
      </w:r>
      <w:r>
        <w:t xml:space="preserve"> non-skipped CU in an LCU.  </w:t>
      </w:r>
      <w:r w:rsidR="005B27BA">
        <w:fldChar w:fldCharType="begin"/>
      </w:r>
      <w:r>
        <w:instrText xml:space="preserve"> REF _Ref282006953 \r \h </w:instrText>
      </w:r>
      <w:r w:rsidR="005B27BA">
        <w:fldChar w:fldCharType="separate"/>
      </w:r>
      <w:r>
        <w:t>Figure 3</w:t>
      </w:r>
      <w:r w:rsidR="005B27BA">
        <w:fldChar w:fldCharType="end"/>
      </w:r>
      <w:r>
        <w:t xml:space="preserve"> shows an example of the </w:t>
      </w:r>
      <w:proofErr w:type="spellStart"/>
      <w:r>
        <w:t>bitstream</w:t>
      </w:r>
      <w:proofErr w:type="spellEnd"/>
      <w:r>
        <w:t xml:space="preserve"> when the first two CU’s in the LCU are coded using SKIP mode.</w:t>
      </w:r>
    </w:p>
    <w:p w:rsidR="009C3E35" w:rsidRPr="00675F39" w:rsidRDefault="009C3E35" w:rsidP="009C3E35">
      <w:pPr>
        <w:pStyle w:val="Caption"/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120" w:after="120"/>
        <w:jc w:val="center"/>
        <w:textAlignment w:val="auto"/>
        <w:rPr>
          <w:sz w:val="22"/>
          <w:szCs w:val="22"/>
        </w:rPr>
      </w:pPr>
      <w:bookmarkStart w:id="4" w:name="_Ref282006953"/>
      <w:r>
        <w:rPr>
          <w:sz w:val="22"/>
          <w:szCs w:val="22"/>
        </w:rPr>
        <w:t xml:space="preserve">Example of proposed </w:t>
      </w:r>
      <w:proofErr w:type="spellStart"/>
      <w:r>
        <w:rPr>
          <w:sz w:val="22"/>
          <w:szCs w:val="22"/>
        </w:rPr>
        <w:t>b</w:t>
      </w:r>
      <w:r w:rsidRPr="002B7613">
        <w:rPr>
          <w:sz w:val="22"/>
          <w:szCs w:val="22"/>
        </w:rPr>
        <w:t>itstream</w:t>
      </w:r>
      <w:proofErr w:type="spellEnd"/>
      <w:r w:rsidRPr="002B7613">
        <w:rPr>
          <w:sz w:val="22"/>
          <w:szCs w:val="22"/>
        </w:rPr>
        <w:t xml:space="preserve"> composition</w:t>
      </w:r>
      <w:bookmarkEnd w:id="4"/>
    </w:p>
    <w:p w:rsidR="009C3E35" w:rsidRDefault="009C3E35" w:rsidP="009C3E35">
      <w:r>
        <w:rPr>
          <w:noProof/>
        </w:rPr>
        <w:drawing>
          <wp:inline distT="0" distB="0" distL="0" distR="0">
            <wp:extent cx="5381625" cy="1969715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3544" cy="1970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E35" w:rsidRPr="00675F39" w:rsidRDefault="009C3E35" w:rsidP="009C3E35">
      <w:pPr>
        <w:rPr>
          <w:szCs w:val="22"/>
        </w:rPr>
      </w:pPr>
      <w:r>
        <w:t xml:space="preserve">This proposed change can easily be extended to support specifying </w:t>
      </w:r>
      <w:proofErr w:type="spellStart"/>
      <w:r>
        <w:t>dQP</w:t>
      </w:r>
      <w:proofErr w:type="spellEnd"/>
      <w:r>
        <w:t xml:space="preserve"> for each CU as proposed in </w:t>
      </w:r>
      <w:r w:rsidR="005B27BA">
        <w:fldChar w:fldCharType="begin"/>
      </w:r>
      <w:r>
        <w:instrText xml:space="preserve"> REF _Ref282008062 \r \h </w:instrText>
      </w:r>
      <w:r w:rsidR="005B27BA">
        <w:fldChar w:fldCharType="separate"/>
      </w:r>
      <w:r>
        <w:t>[2]</w:t>
      </w:r>
      <w:r w:rsidR="005B27BA">
        <w:fldChar w:fldCharType="end"/>
      </w:r>
      <w:proofErr w:type="gramStart"/>
      <w:r>
        <w:t>,</w:t>
      </w:r>
      <w:proofErr w:type="gramEnd"/>
      <w:r>
        <w:t xml:space="preserve"> allowing </w:t>
      </w:r>
      <w:proofErr w:type="spellStart"/>
      <w:r>
        <w:t>dQP</w:t>
      </w:r>
      <w:proofErr w:type="spellEnd"/>
      <w:r>
        <w:t xml:space="preserve"> to be encoded after the mode information for each non-skipped CU</w:t>
      </w:r>
      <w:bookmarkStart w:id="5" w:name="_Ref282015220"/>
      <w:r>
        <w:t xml:space="preserve">. </w:t>
      </w:r>
      <w:r w:rsidR="005B27BA">
        <w:fldChar w:fldCharType="begin"/>
      </w:r>
      <w:r>
        <w:instrText xml:space="preserve"> REF _Ref282618943 \r \h </w:instrText>
      </w:r>
      <w:r w:rsidR="005B27BA">
        <w:fldChar w:fldCharType="separate"/>
      </w:r>
      <w:r>
        <w:t>Figure 4</w:t>
      </w:r>
      <w:r w:rsidR="005B27BA">
        <w:fldChar w:fldCharType="end"/>
      </w:r>
      <w:r>
        <w:t xml:space="preserve"> gives an e</w:t>
      </w:r>
      <w:r>
        <w:rPr>
          <w:szCs w:val="22"/>
        </w:rPr>
        <w:t xml:space="preserve">xample of a possible </w:t>
      </w:r>
      <w:proofErr w:type="spellStart"/>
      <w:r>
        <w:rPr>
          <w:szCs w:val="22"/>
        </w:rPr>
        <w:t>b</w:t>
      </w:r>
      <w:r w:rsidRPr="002B7613">
        <w:rPr>
          <w:szCs w:val="22"/>
        </w:rPr>
        <w:t>itstream</w:t>
      </w:r>
      <w:bookmarkEnd w:id="5"/>
      <w:proofErr w:type="spellEnd"/>
      <w:r>
        <w:rPr>
          <w:szCs w:val="22"/>
        </w:rPr>
        <w:t>.</w:t>
      </w:r>
    </w:p>
    <w:p w:rsidR="009C3E35" w:rsidRPr="00675F39" w:rsidRDefault="009C3E35" w:rsidP="009C3E35">
      <w:pPr>
        <w:pStyle w:val="Caption"/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120" w:after="120"/>
        <w:jc w:val="center"/>
        <w:textAlignment w:val="auto"/>
        <w:rPr>
          <w:sz w:val="22"/>
          <w:szCs w:val="22"/>
        </w:rPr>
      </w:pPr>
      <w:bookmarkStart w:id="6" w:name="_Ref282618943"/>
      <w:r>
        <w:rPr>
          <w:sz w:val="22"/>
          <w:szCs w:val="22"/>
        </w:rPr>
        <w:lastRenderedPageBreak/>
        <w:t xml:space="preserve">Example of proposed </w:t>
      </w:r>
      <w:proofErr w:type="spellStart"/>
      <w:r>
        <w:rPr>
          <w:sz w:val="22"/>
          <w:szCs w:val="22"/>
        </w:rPr>
        <w:t>b</w:t>
      </w:r>
      <w:r w:rsidRPr="002B7613">
        <w:rPr>
          <w:sz w:val="22"/>
          <w:szCs w:val="22"/>
        </w:rPr>
        <w:t>itstream</w:t>
      </w:r>
      <w:proofErr w:type="spellEnd"/>
      <w:r w:rsidRPr="002B7613">
        <w:rPr>
          <w:sz w:val="22"/>
          <w:szCs w:val="22"/>
        </w:rPr>
        <w:t xml:space="preserve"> composition</w:t>
      </w:r>
      <w:r>
        <w:rPr>
          <w:sz w:val="22"/>
          <w:szCs w:val="22"/>
        </w:rPr>
        <w:t xml:space="preserve"> when </w:t>
      </w:r>
      <w:proofErr w:type="spellStart"/>
      <w:r>
        <w:rPr>
          <w:sz w:val="22"/>
          <w:szCs w:val="22"/>
        </w:rPr>
        <w:t>dQP</w:t>
      </w:r>
      <w:proofErr w:type="spellEnd"/>
      <w:r>
        <w:rPr>
          <w:sz w:val="22"/>
          <w:szCs w:val="22"/>
        </w:rPr>
        <w:t xml:space="preserve"> is specified for each CU</w:t>
      </w:r>
      <w:bookmarkEnd w:id="6"/>
    </w:p>
    <w:p w:rsidR="009C3E35" w:rsidRDefault="009C3E35" w:rsidP="009C3E35"/>
    <w:p w:rsidR="009C3E35" w:rsidRPr="00C51740" w:rsidRDefault="009C3E35" w:rsidP="009C3E35">
      <w:r>
        <w:rPr>
          <w:noProof/>
        </w:rPr>
        <w:drawing>
          <wp:inline distT="0" distB="0" distL="0" distR="0">
            <wp:extent cx="5926455" cy="1788160"/>
            <wp:effectExtent l="1905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178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E35" w:rsidRDefault="009C3E35" w:rsidP="009C3E35">
      <w:pPr>
        <w:pStyle w:val="Heading1"/>
        <w:rPr>
          <w:szCs w:val="22"/>
        </w:rPr>
      </w:pPr>
      <w:r>
        <w:rPr>
          <w:szCs w:val="22"/>
        </w:rPr>
        <w:t>Conclusion</w:t>
      </w:r>
    </w:p>
    <w:p w:rsidR="009C3E35" w:rsidRPr="0003074B" w:rsidRDefault="009C3E35" w:rsidP="009C3E35">
      <w:r>
        <w:t xml:space="preserve">The proposed change of </w:t>
      </w:r>
      <w:proofErr w:type="spellStart"/>
      <w:r>
        <w:t>dQP</w:t>
      </w:r>
      <w:proofErr w:type="spellEnd"/>
      <w:r>
        <w:t xml:space="preserve"> syntax can help avoid possible decoder delay. At the same time, it can help improve coding efficiency in cases where an LCU is further partitioned but every sub-CU is then skipped.  Therefore we recommend that this proposal be adopted into HM and studied in Core Experiment.</w:t>
      </w:r>
    </w:p>
    <w:p w:rsidR="009C3E35" w:rsidRPr="00F84C54" w:rsidRDefault="009C3E35" w:rsidP="009C3E35"/>
    <w:p w:rsidR="009C3E35" w:rsidRDefault="009C3E35" w:rsidP="009C3E35">
      <w:pPr>
        <w:pStyle w:val="Heading1"/>
        <w:rPr>
          <w:szCs w:val="22"/>
        </w:rPr>
      </w:pPr>
      <w:r>
        <w:rPr>
          <w:szCs w:val="22"/>
        </w:rPr>
        <w:t>References</w:t>
      </w:r>
    </w:p>
    <w:p w:rsidR="009C3E35" w:rsidRDefault="009C3E35" w:rsidP="009C3E35">
      <w:pPr>
        <w:pStyle w:val="ListParagraph"/>
        <w:numPr>
          <w:ilvl w:val="0"/>
          <w:numId w:val="12"/>
        </w:numPr>
        <w:jc w:val="both"/>
      </w:pPr>
      <w:bookmarkStart w:id="7" w:name="_Ref281924025"/>
      <w:r>
        <w:t xml:space="preserve">JCT-VC, </w:t>
      </w:r>
      <w:r w:rsidRPr="00193D0F">
        <w:t>Summary of HEVC working draft 1 and HEVC test model (HM)</w:t>
      </w:r>
      <w:r>
        <w:t>, JCTVC-C405, 3</w:t>
      </w:r>
      <w:r w:rsidRPr="00193D0F">
        <w:rPr>
          <w:vertAlign w:val="superscript"/>
        </w:rPr>
        <w:t>rd</w:t>
      </w:r>
      <w:r>
        <w:t xml:space="preserve"> JCT-VC meeting, Guangzhou, October 2010.</w:t>
      </w:r>
      <w:bookmarkEnd w:id="7"/>
    </w:p>
    <w:p w:rsidR="009C3E35" w:rsidRPr="00635DEA" w:rsidRDefault="009C3E35" w:rsidP="009C3E35">
      <w:pPr>
        <w:pStyle w:val="ListParagraph"/>
        <w:numPr>
          <w:ilvl w:val="0"/>
          <w:numId w:val="12"/>
        </w:numPr>
        <w:jc w:val="both"/>
      </w:pPr>
      <w:bookmarkStart w:id="8" w:name="_Ref282008062"/>
      <w:r>
        <w:t xml:space="preserve">JCT-VC, </w:t>
      </w:r>
      <w:r w:rsidRPr="006776C5">
        <w:t>Proposal on Large Block Structure and Quantization</w:t>
      </w:r>
      <w:r>
        <w:t>,</w:t>
      </w:r>
      <w:r w:rsidRPr="006776C5">
        <w:t xml:space="preserve"> </w:t>
      </w:r>
      <w:r>
        <w:t>JCTVC-C167, 3</w:t>
      </w:r>
      <w:r w:rsidRPr="00193D0F">
        <w:rPr>
          <w:vertAlign w:val="superscript"/>
        </w:rPr>
        <w:t>rd</w:t>
      </w:r>
      <w:r>
        <w:t xml:space="preserve"> JCT-VC meeting, Guangzhou, October 2010.</w:t>
      </w:r>
      <w:bookmarkEnd w:id="8"/>
    </w:p>
    <w:p w:rsidR="009C3E35" w:rsidRPr="002B191D" w:rsidRDefault="009C3E35" w:rsidP="009C3E35">
      <w:pPr>
        <w:pStyle w:val="Heading1"/>
        <w:ind w:left="432" w:hanging="432"/>
      </w:pPr>
      <w:r w:rsidRPr="002B191D">
        <w:t>Patent rights declaration(s)</w:t>
      </w:r>
    </w:p>
    <w:p w:rsidR="00712F60" w:rsidRPr="0007614F" w:rsidRDefault="009C3E35" w:rsidP="009C3E35">
      <w:pPr>
        <w:jc w:val="both"/>
        <w:rPr>
          <w:szCs w:val="22"/>
        </w:rPr>
      </w:pPr>
      <w:r w:rsidRPr="0007614F">
        <w:rPr>
          <w:szCs w:val="22"/>
        </w:rPr>
        <w:t xml:space="preserve"> </w:t>
      </w:r>
      <w:r w:rsidR="00712F60" w:rsidRPr="0007614F">
        <w:rPr>
          <w:szCs w:val="22"/>
        </w:rPr>
        <w:t>(NOTE – Activities in the JCT-VC and contributions to the JCT-VC are subject to the common patent policy for ITU-T/ITU-R/ISO/IEC. A statement of that policy can be found at</w:t>
      </w:r>
      <w:r w:rsidR="00712F60" w:rsidRPr="0007614F">
        <w:rPr>
          <w:szCs w:val="22"/>
        </w:rPr>
        <w:br/>
      </w:r>
      <w:hyperlink r:id="rId14" w:history="1">
        <w:r w:rsidR="00712F60" w:rsidRPr="0007614F">
          <w:rPr>
            <w:rStyle w:val="Hyperlink"/>
            <w:szCs w:val="22"/>
          </w:rPr>
          <w:t>http://www.itu.int/ITU-T/dbase/patent/patent-policy.html</w:t>
        </w:r>
      </w:hyperlink>
      <w:r w:rsidR="00712F60" w:rsidRPr="0007614F">
        <w:rPr>
          <w:szCs w:val="22"/>
        </w:rPr>
        <w:t xml:space="preserve">, with further information available at </w:t>
      </w:r>
      <w:hyperlink r:id="rId15" w:history="1">
        <w:r w:rsidR="0007614F" w:rsidRPr="00A92858">
          <w:rPr>
            <w:rStyle w:val="Hyperlink"/>
            <w:szCs w:val="22"/>
          </w:rPr>
          <w:t>http://www.itu.int/ITU-T/ipr/index.html</w:t>
        </w:r>
      </w:hyperlink>
      <w:r w:rsidR="003373EC" w:rsidRPr="0007614F">
        <w:rPr>
          <w:szCs w:val="22"/>
        </w:rPr>
        <w:t xml:space="preserve"> </w:t>
      </w:r>
      <w:r w:rsidR="00A83253" w:rsidRPr="0007614F">
        <w:rPr>
          <w:szCs w:val="22"/>
        </w:rPr>
        <w:t>and</w:t>
      </w:r>
      <w:r w:rsidR="006E2810">
        <w:rPr>
          <w:szCs w:val="22"/>
        </w:rPr>
        <w:t xml:space="preserve"> in</w:t>
      </w:r>
      <w:r w:rsidR="003373EC" w:rsidRPr="0007614F">
        <w:rPr>
          <w:szCs w:val="22"/>
        </w:rPr>
        <w:t xml:space="preserve"> </w:t>
      </w:r>
      <w:hyperlink r:id="rId16" w:history="1">
        <w:r w:rsidR="006E2810" w:rsidRPr="0007614F">
          <w:rPr>
            <w:rStyle w:val="Hyperlink"/>
            <w:rFonts w:eastAsia="MS Mincho"/>
            <w:szCs w:val="22"/>
            <w:lang w:val="en-GB"/>
          </w:rPr>
          <w:t>the ISO/IEC Directives</w:t>
        </w:r>
      </w:hyperlink>
      <w:r w:rsidR="00712F60" w:rsidRPr="0007614F">
        <w:rPr>
          <w:szCs w:val="22"/>
        </w:rPr>
        <w:t xml:space="preserve">. The form to be used for the formal reporting of patent rights to ITU-T/ITU-R/ISO/IEC can be found at </w:t>
      </w:r>
      <w:hyperlink r:id="rId17" w:history="1">
        <w:r w:rsidR="00712F60" w:rsidRPr="0007614F">
          <w:rPr>
            <w:rStyle w:val="Hyperlink"/>
            <w:szCs w:val="22"/>
          </w:rPr>
          <w:t>http://www.itu.int/ITU-T/ipr/index.html</w:t>
        </w:r>
      </w:hyperlink>
      <w:r w:rsidR="00712F60" w:rsidRPr="0007614F">
        <w:rPr>
          <w:szCs w:val="22"/>
        </w:rPr>
        <w:t>.</w:t>
      </w:r>
      <w:r w:rsidR="00D807BF">
        <w:rPr>
          <w:szCs w:val="22"/>
        </w:rPr>
        <w:t xml:space="preserve"> </w:t>
      </w:r>
      <w:r w:rsidR="00712F60" w:rsidRPr="0007614F">
        <w:rPr>
          <w:szCs w:val="22"/>
        </w:rPr>
        <w:t>Contributions to the JCT-VC proposing normative technical content shall contain a non-binding informal notice of whether the submitter may have patent rights that would be necessary for implementation of the resulting standard.</w:t>
      </w:r>
      <w:r w:rsidR="00D807BF">
        <w:rPr>
          <w:szCs w:val="22"/>
        </w:rPr>
        <w:t xml:space="preserve"> </w:t>
      </w:r>
      <w:r w:rsidR="00712F60" w:rsidRPr="0007614F">
        <w:rPr>
          <w:szCs w:val="22"/>
        </w:rPr>
        <w:t>The provided informal notice shall indicate the category of anticipated licensing terms according to the ITU-T/ITU-R/ISO/IEC patent statement and licensing declaration form.</w:t>
      </w:r>
      <w:r w:rsidR="00D807BF">
        <w:rPr>
          <w:szCs w:val="22"/>
        </w:rPr>
        <w:t xml:space="preserve"> </w:t>
      </w:r>
      <w:r w:rsidR="00712F60" w:rsidRPr="0007614F">
        <w:rPr>
          <w:szCs w:val="22"/>
        </w:rPr>
        <w:t xml:space="preserve">This obligation to provide an informal notice is supplemental to, and does not replace, any existing obligations of parties with technology included in </w:t>
      </w:r>
      <w:r w:rsidR="00A83253" w:rsidRPr="0007614F">
        <w:rPr>
          <w:szCs w:val="22"/>
        </w:rPr>
        <w:t>a</w:t>
      </w:r>
      <w:r w:rsidR="00712F60" w:rsidRPr="0007614F">
        <w:rPr>
          <w:szCs w:val="22"/>
        </w:rPr>
        <w:t xml:space="preserve"> final </w:t>
      </w:r>
      <w:r w:rsidR="00A83253" w:rsidRPr="0007614F">
        <w:rPr>
          <w:szCs w:val="22"/>
        </w:rPr>
        <w:t xml:space="preserve">or draft </w:t>
      </w:r>
      <w:r w:rsidR="00712F60" w:rsidRPr="0007614F">
        <w:rPr>
          <w:szCs w:val="22"/>
        </w:rPr>
        <w:t>standard to submit formal IPR declarations to ITU-T/ITU-R/ISO/IEC. An example of an informal IPR notification statement for a contribution is provided below.)</w:t>
      </w:r>
    </w:p>
    <w:p w:rsidR="00712F60" w:rsidRPr="000E00F3" w:rsidRDefault="00712F60" w:rsidP="00380634">
      <w:pPr>
        <w:jc w:val="both"/>
        <w:rPr>
          <w:szCs w:val="22"/>
        </w:rPr>
      </w:pPr>
    </w:p>
    <w:p w:rsidR="001F2594" w:rsidRDefault="001D34B1" w:rsidP="00380634">
      <w:pPr>
        <w:jc w:val="both"/>
        <w:rPr>
          <w:szCs w:val="22"/>
        </w:rPr>
      </w:pPr>
      <w:r w:rsidRPr="00BF4BAC">
        <w:rPr>
          <w:b/>
          <w:szCs w:val="22"/>
        </w:rPr>
        <w:t>Sony Corporation</w:t>
      </w:r>
      <w:r w:rsidRPr="00A01439">
        <w:rPr>
          <w:b/>
          <w:szCs w:val="22"/>
        </w:rPr>
        <w:t xml:space="preserve"> </w:t>
      </w:r>
      <w:r w:rsidR="001F2594" w:rsidRPr="00A01439">
        <w:rPr>
          <w:b/>
          <w:szCs w:val="22"/>
        </w:rPr>
        <w:t xml:space="preserve">may have IPR relating to the technology described </w:t>
      </w:r>
      <w:r w:rsidR="002F164D">
        <w:rPr>
          <w:b/>
          <w:szCs w:val="22"/>
        </w:rPr>
        <w:t xml:space="preserve">in </w:t>
      </w:r>
      <w:r w:rsidR="001F2594" w:rsidRPr="00A01439">
        <w:rPr>
          <w:b/>
          <w:szCs w:val="22"/>
        </w:rPr>
        <w:t>this contribution and, conditioned on reciprocity, is prepared to grant licenses under reasonable and non-discriminatory terms as necessary for implementation of the resulting ITU-T Recommendation</w:t>
      </w:r>
      <w:r w:rsidR="002F164D">
        <w:rPr>
          <w:b/>
          <w:szCs w:val="22"/>
        </w:rPr>
        <w:t xml:space="preserve"> | ISO/IEC </w:t>
      </w:r>
      <w:r w:rsidR="00A83253">
        <w:rPr>
          <w:b/>
          <w:szCs w:val="22"/>
        </w:rPr>
        <w:t xml:space="preserve">International </w:t>
      </w:r>
      <w:r w:rsidR="002F164D">
        <w:rPr>
          <w:b/>
          <w:szCs w:val="22"/>
        </w:rPr>
        <w:t>Standard</w:t>
      </w:r>
      <w:r w:rsidR="001F2594" w:rsidRPr="00A01439">
        <w:rPr>
          <w:b/>
          <w:szCs w:val="22"/>
        </w:rPr>
        <w:t xml:space="preserve"> (per box 2 of the ITU-T/ITU-R/ISO/IEC patent statement and licensing declaration form).</w:t>
      </w:r>
    </w:p>
    <w:p w:rsidR="007F1F8B" w:rsidRPr="009234A5" w:rsidRDefault="007F1F8B" w:rsidP="00380634">
      <w:pPr>
        <w:jc w:val="both"/>
        <w:rPr>
          <w:szCs w:val="22"/>
        </w:rPr>
      </w:pPr>
    </w:p>
    <w:sectPr w:rsidR="007F1F8B" w:rsidRPr="009234A5" w:rsidSect="00A01439">
      <w:footerReference w:type="default" r:id="rId18"/>
      <w:pgSz w:w="12240" w:h="15840" w:code="1"/>
      <w:pgMar w:top="864" w:right="1440" w:bottom="864" w:left="1440" w:header="432" w:footer="432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E5B55" w:rsidRDefault="00BE5B55">
      <w:r>
        <w:separator/>
      </w:r>
    </w:p>
  </w:endnote>
  <w:endnote w:type="continuationSeparator" w:id="0">
    <w:p w:rsidR="00BE5B55" w:rsidRDefault="00BE5B5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Bold">
    <w:panose1 w:val="02020803070505020304"/>
    <w:charset w:val="00"/>
    <w:family w:val="auto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2F60" w:rsidRDefault="00712F60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 w:rsidR="005B27BA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5B27BA">
      <w:rPr>
        <w:rStyle w:val="PageNumber"/>
      </w:rPr>
      <w:fldChar w:fldCharType="separate"/>
    </w:r>
    <w:r w:rsidR="003E3136">
      <w:rPr>
        <w:rStyle w:val="PageNumber"/>
        <w:noProof/>
      </w:rPr>
      <w:t>1</w:t>
    </w:r>
    <w:r w:rsidR="005B27BA"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 w:rsidR="005B27BA"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 w:rsidR="005B27BA">
      <w:rPr>
        <w:rStyle w:val="PageNumber"/>
      </w:rPr>
      <w:fldChar w:fldCharType="separate"/>
    </w:r>
    <w:r w:rsidR="003E3136">
      <w:rPr>
        <w:rStyle w:val="PageNumber"/>
        <w:noProof/>
      </w:rPr>
      <w:t>2011-01-14</w:t>
    </w:r>
    <w:r w:rsidR="005B27BA">
      <w:rPr>
        <w:rStyle w:val="PageNumber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E5B55" w:rsidRDefault="00BE5B55">
      <w:r>
        <w:separator/>
      </w:r>
    </w:p>
  </w:footnote>
  <w:footnote w:type="continuationSeparator" w:id="0">
    <w:p w:rsidR="00BE5B55" w:rsidRDefault="00BE5B5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0002CED"/>
    <w:multiLevelType w:val="hybridMultilevel"/>
    <w:tmpl w:val="83420F34"/>
    <w:lvl w:ilvl="0" w:tplc="ABBA6BE0">
      <w:start w:val="1"/>
      <w:numFmt w:val="decimal"/>
      <w:lvlText w:val="Figure %1."/>
      <w:lvlJc w:val="left"/>
      <w:pPr>
        <w:ind w:left="72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34A4454D"/>
    <w:multiLevelType w:val="hybridMultilevel"/>
    <w:tmpl w:val="B4C0D23C"/>
    <w:lvl w:ilvl="0" w:tplc="E2E86C98">
      <w:start w:val="1"/>
      <w:numFmt w:val="decimal"/>
      <w:lvlText w:val="[%1]"/>
      <w:lvlJc w:val="left"/>
      <w:pPr>
        <w:ind w:left="72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54587F"/>
    <w:multiLevelType w:val="hybridMultilevel"/>
    <w:tmpl w:val="7C52C488"/>
    <w:lvl w:ilvl="0" w:tplc="FBDCC94E">
      <w:start w:val="1"/>
      <w:numFmt w:val="decimal"/>
      <w:lvlText w:val="[%1]"/>
      <w:lvlJc w:val="left"/>
      <w:pPr>
        <w:ind w:left="72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1"/>
  </w:num>
  <w:num w:numId="3">
    <w:abstractNumId w:val="10"/>
  </w:num>
  <w:num w:numId="4">
    <w:abstractNumId w:val="8"/>
  </w:num>
  <w:num w:numId="5">
    <w:abstractNumId w:val="9"/>
  </w:num>
  <w:num w:numId="6">
    <w:abstractNumId w:val="4"/>
  </w:num>
  <w:num w:numId="7">
    <w:abstractNumId w:val="6"/>
  </w:num>
  <w:num w:numId="8">
    <w:abstractNumId w:val="4"/>
  </w:num>
  <w:num w:numId="9">
    <w:abstractNumId w:val="2"/>
  </w:num>
  <w:num w:numId="10">
    <w:abstractNumId w:val="3"/>
  </w:num>
  <w:num w:numId="11">
    <w:abstractNumId w:val="5"/>
  </w:num>
  <w:num w:numId="12">
    <w:abstractNumId w:val="7"/>
  </w:num>
  <w:num w:numId="1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3"/>
  <w:proofState w:spelling="clean" w:grammar="clean"/>
  <w:stylePaneFormatFilter w:val="3F01"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docVars>
    <w:docVar w:name="aurora:used-aurora" w:val="i:1"/>
  </w:docVars>
  <w:rsids>
    <w:rsidRoot w:val="006C5D39"/>
    <w:rsid w:val="00002AB3"/>
    <w:rsid w:val="000229D0"/>
    <w:rsid w:val="000269F5"/>
    <w:rsid w:val="000458BC"/>
    <w:rsid w:val="00045C41"/>
    <w:rsid w:val="00046C03"/>
    <w:rsid w:val="0005344D"/>
    <w:rsid w:val="00061936"/>
    <w:rsid w:val="0007614F"/>
    <w:rsid w:val="000B1C6B"/>
    <w:rsid w:val="000C09AC"/>
    <w:rsid w:val="000C776C"/>
    <w:rsid w:val="000E00F3"/>
    <w:rsid w:val="000F158C"/>
    <w:rsid w:val="00124E38"/>
    <w:rsid w:val="0012580B"/>
    <w:rsid w:val="0013526E"/>
    <w:rsid w:val="00137A2F"/>
    <w:rsid w:val="00171371"/>
    <w:rsid w:val="00175A24"/>
    <w:rsid w:val="00184B18"/>
    <w:rsid w:val="00187E58"/>
    <w:rsid w:val="001A297E"/>
    <w:rsid w:val="001A368E"/>
    <w:rsid w:val="001A7329"/>
    <w:rsid w:val="001B4E28"/>
    <w:rsid w:val="001C3525"/>
    <w:rsid w:val="001D1BD2"/>
    <w:rsid w:val="001D34B1"/>
    <w:rsid w:val="001E02BE"/>
    <w:rsid w:val="001E3B37"/>
    <w:rsid w:val="001F2594"/>
    <w:rsid w:val="00206460"/>
    <w:rsid w:val="002069B4"/>
    <w:rsid w:val="00215DFC"/>
    <w:rsid w:val="002212DF"/>
    <w:rsid w:val="00227BA7"/>
    <w:rsid w:val="00233902"/>
    <w:rsid w:val="00275BCF"/>
    <w:rsid w:val="00292257"/>
    <w:rsid w:val="0029339A"/>
    <w:rsid w:val="002A54E0"/>
    <w:rsid w:val="002B1595"/>
    <w:rsid w:val="002B191D"/>
    <w:rsid w:val="002D0AF6"/>
    <w:rsid w:val="002F164D"/>
    <w:rsid w:val="00306206"/>
    <w:rsid w:val="00327C56"/>
    <w:rsid w:val="003315A1"/>
    <w:rsid w:val="003373EC"/>
    <w:rsid w:val="003706CC"/>
    <w:rsid w:val="00380634"/>
    <w:rsid w:val="003973D9"/>
    <w:rsid w:val="003A2D8E"/>
    <w:rsid w:val="003B47E8"/>
    <w:rsid w:val="003C20E4"/>
    <w:rsid w:val="003E3136"/>
    <w:rsid w:val="003E6F90"/>
    <w:rsid w:val="003F3750"/>
    <w:rsid w:val="003F5D0F"/>
    <w:rsid w:val="00414101"/>
    <w:rsid w:val="00433DDB"/>
    <w:rsid w:val="00437619"/>
    <w:rsid w:val="004545AB"/>
    <w:rsid w:val="00466ED1"/>
    <w:rsid w:val="004B210C"/>
    <w:rsid w:val="004D405F"/>
    <w:rsid w:val="004F61E3"/>
    <w:rsid w:val="0051015C"/>
    <w:rsid w:val="00522639"/>
    <w:rsid w:val="00531AE9"/>
    <w:rsid w:val="00567EC7"/>
    <w:rsid w:val="00570013"/>
    <w:rsid w:val="005A33A1"/>
    <w:rsid w:val="005B27BA"/>
    <w:rsid w:val="005C385F"/>
    <w:rsid w:val="005F6F1B"/>
    <w:rsid w:val="00624B33"/>
    <w:rsid w:val="00630AA2"/>
    <w:rsid w:val="00640D62"/>
    <w:rsid w:val="00646707"/>
    <w:rsid w:val="0066031F"/>
    <w:rsid w:val="00661A9A"/>
    <w:rsid w:val="00664DCF"/>
    <w:rsid w:val="006B33F3"/>
    <w:rsid w:val="006B7C1D"/>
    <w:rsid w:val="006C5D39"/>
    <w:rsid w:val="006E2810"/>
    <w:rsid w:val="006E5417"/>
    <w:rsid w:val="00712F60"/>
    <w:rsid w:val="00720E3B"/>
    <w:rsid w:val="00745F6B"/>
    <w:rsid w:val="0074679E"/>
    <w:rsid w:val="0075585E"/>
    <w:rsid w:val="007768FF"/>
    <w:rsid w:val="007824D3"/>
    <w:rsid w:val="00796EE3"/>
    <w:rsid w:val="007A7D29"/>
    <w:rsid w:val="007C727F"/>
    <w:rsid w:val="007F1F8B"/>
    <w:rsid w:val="00811655"/>
    <w:rsid w:val="008206C8"/>
    <w:rsid w:val="00874A6C"/>
    <w:rsid w:val="00876C65"/>
    <w:rsid w:val="008941E0"/>
    <w:rsid w:val="00897C7E"/>
    <w:rsid w:val="008A4B4C"/>
    <w:rsid w:val="008C239F"/>
    <w:rsid w:val="00907757"/>
    <w:rsid w:val="009212B0"/>
    <w:rsid w:val="009234A5"/>
    <w:rsid w:val="00927D26"/>
    <w:rsid w:val="009300D6"/>
    <w:rsid w:val="009336F7"/>
    <w:rsid w:val="009374A7"/>
    <w:rsid w:val="0096183E"/>
    <w:rsid w:val="0099518F"/>
    <w:rsid w:val="009A1D69"/>
    <w:rsid w:val="009A523D"/>
    <w:rsid w:val="009C3E35"/>
    <w:rsid w:val="009F496B"/>
    <w:rsid w:val="00A01439"/>
    <w:rsid w:val="00A02E61"/>
    <w:rsid w:val="00A05CFF"/>
    <w:rsid w:val="00A144B3"/>
    <w:rsid w:val="00A528EF"/>
    <w:rsid w:val="00A56B97"/>
    <w:rsid w:val="00A6093D"/>
    <w:rsid w:val="00A76A6D"/>
    <w:rsid w:val="00A80E8E"/>
    <w:rsid w:val="00A83253"/>
    <w:rsid w:val="00A96729"/>
    <w:rsid w:val="00AA6E84"/>
    <w:rsid w:val="00AE341B"/>
    <w:rsid w:val="00B009C2"/>
    <w:rsid w:val="00B07CA7"/>
    <w:rsid w:val="00B1279A"/>
    <w:rsid w:val="00B5222E"/>
    <w:rsid w:val="00B61C96"/>
    <w:rsid w:val="00B73A2A"/>
    <w:rsid w:val="00B94B06"/>
    <w:rsid w:val="00B94C28"/>
    <w:rsid w:val="00BB752E"/>
    <w:rsid w:val="00BC10BA"/>
    <w:rsid w:val="00BC43D6"/>
    <w:rsid w:val="00BC5AFD"/>
    <w:rsid w:val="00BE5B55"/>
    <w:rsid w:val="00C0609D"/>
    <w:rsid w:val="00C115AB"/>
    <w:rsid w:val="00C30249"/>
    <w:rsid w:val="00C5631D"/>
    <w:rsid w:val="00C606C9"/>
    <w:rsid w:val="00C7694F"/>
    <w:rsid w:val="00C90650"/>
    <w:rsid w:val="00C97D78"/>
    <w:rsid w:val="00CB28BC"/>
    <w:rsid w:val="00CC5A42"/>
    <w:rsid w:val="00CC5BD9"/>
    <w:rsid w:val="00CD0EAB"/>
    <w:rsid w:val="00CF34DB"/>
    <w:rsid w:val="00CF3F3F"/>
    <w:rsid w:val="00CF558F"/>
    <w:rsid w:val="00CF6D2D"/>
    <w:rsid w:val="00D01566"/>
    <w:rsid w:val="00D073E2"/>
    <w:rsid w:val="00D13AF0"/>
    <w:rsid w:val="00D446EC"/>
    <w:rsid w:val="00D51BF0"/>
    <w:rsid w:val="00D55942"/>
    <w:rsid w:val="00D807BF"/>
    <w:rsid w:val="00D86D2C"/>
    <w:rsid w:val="00DA7887"/>
    <w:rsid w:val="00DB2C26"/>
    <w:rsid w:val="00DC42D0"/>
    <w:rsid w:val="00DD7914"/>
    <w:rsid w:val="00DE3B19"/>
    <w:rsid w:val="00DE6B43"/>
    <w:rsid w:val="00E00F9C"/>
    <w:rsid w:val="00E11923"/>
    <w:rsid w:val="00E262D4"/>
    <w:rsid w:val="00E36250"/>
    <w:rsid w:val="00E54511"/>
    <w:rsid w:val="00E569D7"/>
    <w:rsid w:val="00E61DAC"/>
    <w:rsid w:val="00E655DB"/>
    <w:rsid w:val="00E75FE3"/>
    <w:rsid w:val="00E7689D"/>
    <w:rsid w:val="00EB7AB1"/>
    <w:rsid w:val="00EF48CC"/>
    <w:rsid w:val="00F608EC"/>
    <w:rsid w:val="00F73032"/>
    <w:rsid w:val="00F848FC"/>
    <w:rsid w:val="00F9282A"/>
    <w:rsid w:val="00F96BAD"/>
    <w:rsid w:val="00FA42B7"/>
    <w:rsid w:val="00FB0E84"/>
    <w:rsid w:val="00FC461D"/>
    <w:rsid w:val="00FD01C2"/>
    <w:rsid w:val="00FF0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3973D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3973D9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973D9"/>
  </w:style>
  <w:style w:type="character" w:styleId="Hyperlink">
    <w:name w:val="Hyperlink"/>
    <w:basedOn w:val="DefaultParagraphFont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basedOn w:val="DefaultParagraphFont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basedOn w:val="DefaultParagraphFont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basedOn w:val="DefaultParagraphFont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E11923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811655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link w:val="CaptionChar"/>
    <w:unhideWhenUsed/>
    <w:qFormat/>
    <w:rsid w:val="001D34B1"/>
    <w:rPr>
      <w:b/>
      <w:bCs/>
      <w:sz w:val="20"/>
    </w:rPr>
  </w:style>
  <w:style w:type="character" w:styleId="PlaceholderText">
    <w:name w:val="Placeholder Text"/>
    <w:basedOn w:val="DefaultParagraphFont"/>
    <w:uiPriority w:val="99"/>
    <w:semiHidden/>
    <w:rsid w:val="00D86D2C"/>
    <w:rPr>
      <w:color w:val="808080"/>
    </w:rPr>
  </w:style>
  <w:style w:type="paragraph" w:styleId="ListParagraph">
    <w:name w:val="List Paragraph"/>
    <w:basedOn w:val="Normal"/>
    <w:uiPriority w:val="34"/>
    <w:qFormat/>
    <w:rsid w:val="00D13AF0"/>
    <w:pPr>
      <w:ind w:left="720"/>
      <w:contextualSpacing/>
    </w:pPr>
  </w:style>
  <w:style w:type="character" w:styleId="CommentReference">
    <w:name w:val="annotation reference"/>
    <w:basedOn w:val="DefaultParagraphFont"/>
    <w:rsid w:val="00661A9A"/>
    <w:rPr>
      <w:sz w:val="16"/>
      <w:szCs w:val="16"/>
    </w:rPr>
  </w:style>
  <w:style w:type="paragraph" w:styleId="CommentText">
    <w:name w:val="annotation text"/>
    <w:basedOn w:val="Normal"/>
    <w:link w:val="CommentTextChar"/>
    <w:rsid w:val="00661A9A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661A9A"/>
  </w:style>
  <w:style w:type="paragraph" w:styleId="CommentSubject">
    <w:name w:val="annotation subject"/>
    <w:basedOn w:val="CommentText"/>
    <w:next w:val="CommentText"/>
    <w:link w:val="CommentSubjectChar"/>
    <w:rsid w:val="00661A9A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661A9A"/>
    <w:rPr>
      <w:b/>
      <w:bCs/>
    </w:rPr>
  </w:style>
  <w:style w:type="character" w:customStyle="1" w:styleId="go">
    <w:name w:val="go"/>
    <w:basedOn w:val="DefaultParagraphFont"/>
    <w:rsid w:val="009C3E35"/>
  </w:style>
  <w:style w:type="character" w:customStyle="1" w:styleId="CaptionChar">
    <w:name w:val="Caption Char"/>
    <w:basedOn w:val="DefaultParagraphFont"/>
    <w:link w:val="Caption"/>
    <w:rsid w:val="009C3E35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178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www.itu.int/ITU-T/ipr/index.html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isotc.iso.org/livelink/livelink?func=ll&amp;objId=4230455&amp;objAction=browse&amp;sort=subtype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www.itu.int/ITU-T/ipr/index.html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itu.int/ITU-T/dbase/patent/patent-policy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E12D47-E642-4B92-B801-D6D31B2BC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3</Pages>
  <Words>785</Words>
  <Characters>4479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Joint Collaborative Team on Video Coding (JCT-VC) Contribution</vt:lpstr>
    </vt:vector>
  </TitlesOfParts>
  <Company/>
  <LinksUpToDate>false</LinksUpToDate>
  <CharactersWithSpaces>5254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</dc:creator>
  <cp:keywords>JCT-VC, MPEG, VCEG</cp:keywords>
  <cp:lastModifiedBy>Ali Tabatabai</cp:lastModifiedBy>
  <cp:revision>8</cp:revision>
  <cp:lastPrinted>2011-01-14T03:37:00Z</cp:lastPrinted>
  <dcterms:created xsi:type="dcterms:W3CDTF">2011-01-14T03:38:00Z</dcterms:created>
  <dcterms:modified xsi:type="dcterms:W3CDTF">2011-01-15T19:27:00Z</dcterms:modified>
</cp:coreProperties>
</file>