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E61DAC" w:rsidRPr="005B217D" w14:paraId="742CC28C" w14:textId="77777777">
        <w:tc>
          <w:tcPr>
            <w:tcW w:w="6408" w:type="dxa"/>
          </w:tcPr>
          <w:p w14:paraId="2CC28A3E" w14:textId="77777777" w:rsidR="006C5D39" w:rsidRPr="005B217D" w:rsidRDefault="00B82A30" w:rsidP="00C97D78">
            <w:pPr>
              <w:tabs>
                <w:tab w:val="left" w:pos="7200"/>
              </w:tabs>
              <w:spacing w:before="0"/>
              <w:rPr>
                <w:b/>
                <w:szCs w:val="22"/>
                <w:lang w:val="en-CA"/>
              </w:rPr>
            </w:pPr>
            <w:r w:rsidRPr="005B217D">
              <w:rPr>
                <w:b/>
                <w:noProof/>
                <w:szCs w:val="22"/>
                <w:lang w:val="en-CA" w:eastAsia="zh-CN"/>
              </w:rPr>
              <mc:AlternateContent>
                <mc:Choice Requires="wpg">
                  <w:drawing>
                    <wp:anchor distT="0" distB="0" distL="114300" distR="114300" simplePos="0" relativeHeight="251656704" behindDoc="0" locked="0" layoutInCell="1" allowOverlap="1" wp14:anchorId="33834BB5" wp14:editId="4EFC2FFA">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08511BA4"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val="en-CA" w:eastAsia="zh-CN"/>
              </w:rPr>
              <w:drawing>
                <wp:anchor distT="0" distB="0" distL="114300" distR="114300" simplePos="0" relativeHeight="251658752" behindDoc="0" locked="0" layoutInCell="1" allowOverlap="1" wp14:anchorId="3BC95FC3" wp14:editId="376BA2CB">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val="en-CA" w:eastAsia="zh-CN"/>
              </w:rPr>
              <w:drawing>
                <wp:anchor distT="0" distB="0" distL="114300" distR="114300" simplePos="0" relativeHeight="251657728" behindDoc="0" locked="0" layoutInCell="1" allowOverlap="1" wp14:anchorId="37510F40" wp14:editId="3BC2EB5C">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E3E344E"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3696E9F" w14:textId="19E62F5E" w:rsidR="00E61DAC" w:rsidRPr="005B217D" w:rsidRDefault="007C6FF4" w:rsidP="00975472">
            <w:pPr>
              <w:tabs>
                <w:tab w:val="left" w:pos="7200"/>
              </w:tabs>
              <w:spacing w:before="0"/>
              <w:rPr>
                <w:b/>
                <w:szCs w:val="22"/>
                <w:lang w:val="en-CA"/>
              </w:rPr>
            </w:pPr>
            <w:r w:rsidRPr="00042645">
              <w:rPr>
                <w:lang w:val="en-CA"/>
              </w:rPr>
              <w:t xml:space="preserve">39th Meeting: </w:t>
            </w:r>
            <w:r>
              <w:rPr>
                <w:lang w:val="en-CA"/>
              </w:rPr>
              <w:t>by teleconference</w:t>
            </w:r>
            <w:r w:rsidRPr="00042645">
              <w:rPr>
                <w:lang w:val="en-CA"/>
              </w:rPr>
              <w:t>, 18–24 April 2020</w:t>
            </w:r>
          </w:p>
        </w:tc>
        <w:tc>
          <w:tcPr>
            <w:tcW w:w="3168" w:type="dxa"/>
          </w:tcPr>
          <w:p w14:paraId="2EC5C53F" w14:textId="69622DAB" w:rsidR="008A4B4C" w:rsidRPr="005B217D" w:rsidRDefault="00E61DAC" w:rsidP="009901F7">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176EEF">
              <w:rPr>
                <w:lang w:val="en-CA"/>
              </w:rPr>
              <w:t>A</w:t>
            </w:r>
            <w:r w:rsidR="007C6FF4">
              <w:rPr>
                <w:lang w:val="en-CA"/>
              </w:rPr>
              <w:t>M</w:t>
            </w:r>
            <w:r w:rsidR="009D457B">
              <w:rPr>
                <w:lang w:val="en-CA"/>
              </w:rPr>
              <w:t>0002-v1</w:t>
            </w:r>
          </w:p>
        </w:tc>
      </w:tr>
    </w:tbl>
    <w:p w14:paraId="74306BB1" w14:textId="77777777" w:rsidR="00E61DAC" w:rsidRPr="005B217D" w:rsidRDefault="00E61DAC" w:rsidP="00531AE9">
      <w:pPr>
        <w:spacing w:before="0"/>
        <w:rPr>
          <w:lang w:val="en-CA"/>
        </w:rPr>
      </w:pPr>
    </w:p>
    <w:tbl>
      <w:tblPr>
        <w:tblW w:w="9605" w:type="dxa"/>
        <w:tblLayout w:type="fixed"/>
        <w:tblLook w:val="0000" w:firstRow="0" w:lastRow="0" w:firstColumn="0" w:lastColumn="0" w:noHBand="0" w:noVBand="0"/>
      </w:tblPr>
      <w:tblGrid>
        <w:gridCol w:w="1458"/>
        <w:gridCol w:w="3470"/>
        <w:gridCol w:w="850"/>
        <w:gridCol w:w="3827"/>
      </w:tblGrid>
      <w:tr w:rsidR="00E61DAC" w:rsidRPr="005B217D" w14:paraId="73108F38" w14:textId="77777777" w:rsidTr="005640EB">
        <w:tc>
          <w:tcPr>
            <w:tcW w:w="1458" w:type="dxa"/>
          </w:tcPr>
          <w:p w14:paraId="00A068CE" w14:textId="77777777" w:rsidR="00E61DAC" w:rsidRPr="005B217D" w:rsidRDefault="00E61DAC">
            <w:pPr>
              <w:spacing w:before="60" w:after="60"/>
              <w:rPr>
                <w:i/>
                <w:szCs w:val="22"/>
                <w:lang w:val="en-CA"/>
              </w:rPr>
            </w:pPr>
            <w:r w:rsidRPr="005B217D">
              <w:rPr>
                <w:i/>
                <w:szCs w:val="22"/>
                <w:lang w:val="en-CA"/>
              </w:rPr>
              <w:t>Title:</w:t>
            </w:r>
          </w:p>
        </w:tc>
        <w:tc>
          <w:tcPr>
            <w:tcW w:w="8147" w:type="dxa"/>
            <w:gridSpan w:val="3"/>
          </w:tcPr>
          <w:p w14:paraId="24E151EC" w14:textId="77777777" w:rsidR="00E61DAC" w:rsidRPr="005B217D" w:rsidRDefault="00964A69">
            <w:pPr>
              <w:spacing w:before="60" w:after="60"/>
              <w:rPr>
                <w:b/>
                <w:szCs w:val="22"/>
                <w:lang w:val="en-CA"/>
              </w:rPr>
            </w:pPr>
            <w:r w:rsidRPr="007730C8">
              <w:rPr>
                <w:b/>
                <w:szCs w:val="22"/>
                <w:lang w:val="en-GB"/>
              </w:rPr>
              <w:t xml:space="preserve">JCT-VC AHG report: </w:t>
            </w:r>
            <w:r w:rsidRPr="00860E0B">
              <w:rPr>
                <w:b/>
              </w:rPr>
              <w:t>HEVC test model editing and errata reporting (AHG2)</w:t>
            </w:r>
          </w:p>
        </w:tc>
      </w:tr>
      <w:tr w:rsidR="00E61DAC" w:rsidRPr="005B217D" w14:paraId="1283CEB5" w14:textId="77777777" w:rsidTr="005640EB">
        <w:tc>
          <w:tcPr>
            <w:tcW w:w="1458" w:type="dxa"/>
          </w:tcPr>
          <w:p w14:paraId="5D533D6F" w14:textId="77777777" w:rsidR="00E61DAC" w:rsidRPr="005B217D" w:rsidRDefault="00E61DAC">
            <w:pPr>
              <w:spacing w:before="60" w:after="60"/>
              <w:rPr>
                <w:i/>
                <w:szCs w:val="22"/>
                <w:lang w:val="en-CA"/>
              </w:rPr>
            </w:pPr>
            <w:r w:rsidRPr="005B217D">
              <w:rPr>
                <w:i/>
                <w:szCs w:val="22"/>
                <w:lang w:val="en-CA"/>
              </w:rPr>
              <w:t>Status:</w:t>
            </w:r>
          </w:p>
        </w:tc>
        <w:tc>
          <w:tcPr>
            <w:tcW w:w="8147" w:type="dxa"/>
            <w:gridSpan w:val="3"/>
          </w:tcPr>
          <w:p w14:paraId="5D68A4B6" w14:textId="77777777" w:rsidR="00E61DAC" w:rsidRPr="005B217D" w:rsidRDefault="00964A69">
            <w:pPr>
              <w:spacing w:before="60" w:after="60"/>
              <w:rPr>
                <w:szCs w:val="22"/>
                <w:lang w:val="en-CA"/>
              </w:rPr>
            </w:pPr>
            <w:r w:rsidRPr="007730C8">
              <w:rPr>
                <w:szCs w:val="22"/>
                <w:lang w:val="en-GB"/>
              </w:rPr>
              <w:t>AHG repor</w:t>
            </w:r>
            <w:r w:rsidRPr="006A5211">
              <w:rPr>
                <w:szCs w:val="22"/>
                <w:lang w:val="en-GB"/>
              </w:rPr>
              <w:t>t input to JCT-VC</w:t>
            </w:r>
          </w:p>
        </w:tc>
      </w:tr>
      <w:tr w:rsidR="00E61DAC" w:rsidRPr="005B217D" w14:paraId="7FB1FFC5" w14:textId="77777777" w:rsidTr="005640EB">
        <w:tc>
          <w:tcPr>
            <w:tcW w:w="1458" w:type="dxa"/>
          </w:tcPr>
          <w:p w14:paraId="659DC181" w14:textId="77777777" w:rsidR="00E61DAC" w:rsidRPr="005B217D" w:rsidRDefault="00E61DAC">
            <w:pPr>
              <w:spacing w:before="60" w:after="60"/>
              <w:rPr>
                <w:i/>
                <w:szCs w:val="22"/>
                <w:lang w:val="en-CA"/>
              </w:rPr>
            </w:pPr>
            <w:r w:rsidRPr="005B217D">
              <w:rPr>
                <w:i/>
                <w:szCs w:val="22"/>
                <w:lang w:val="en-CA"/>
              </w:rPr>
              <w:t>Purpose:</w:t>
            </w:r>
          </w:p>
        </w:tc>
        <w:tc>
          <w:tcPr>
            <w:tcW w:w="8147" w:type="dxa"/>
            <w:gridSpan w:val="3"/>
          </w:tcPr>
          <w:p w14:paraId="70156434" w14:textId="77777777" w:rsidR="00E61DAC" w:rsidRPr="005B217D" w:rsidRDefault="00964A69" w:rsidP="005E1AC6">
            <w:pPr>
              <w:spacing w:before="60" w:after="60"/>
              <w:rPr>
                <w:szCs w:val="22"/>
                <w:lang w:val="en-CA"/>
              </w:rPr>
            </w:pPr>
            <w:r w:rsidRPr="007730C8">
              <w:rPr>
                <w:szCs w:val="22"/>
                <w:lang w:val="en-GB"/>
              </w:rPr>
              <w:t>AHG report</w:t>
            </w:r>
          </w:p>
        </w:tc>
      </w:tr>
      <w:tr w:rsidR="00E61DAC" w:rsidRPr="005B217D" w14:paraId="70654CB7" w14:textId="77777777" w:rsidTr="005640EB">
        <w:tc>
          <w:tcPr>
            <w:tcW w:w="1458" w:type="dxa"/>
          </w:tcPr>
          <w:p w14:paraId="6AAE2385" w14:textId="77777777" w:rsidR="00E61DAC" w:rsidRPr="005B217D" w:rsidRDefault="00E61DAC" w:rsidP="00110BE8">
            <w:pPr>
              <w:spacing w:before="60" w:after="60"/>
              <w:rPr>
                <w:i/>
                <w:szCs w:val="22"/>
                <w:lang w:val="en-CA"/>
              </w:rPr>
            </w:pPr>
            <w:r w:rsidRPr="005B217D">
              <w:rPr>
                <w:i/>
                <w:szCs w:val="22"/>
                <w:lang w:val="en-CA"/>
              </w:rPr>
              <w:t>Author(s) or</w:t>
            </w:r>
            <w:r w:rsidRPr="005B217D">
              <w:rPr>
                <w:i/>
                <w:szCs w:val="22"/>
                <w:lang w:val="en-CA"/>
              </w:rPr>
              <w:br/>
              <w:t>Contact(s):</w:t>
            </w:r>
          </w:p>
        </w:tc>
        <w:tc>
          <w:tcPr>
            <w:tcW w:w="3470" w:type="dxa"/>
          </w:tcPr>
          <w:p w14:paraId="3595A85E" w14:textId="77777777" w:rsidR="00964A69" w:rsidRPr="00653A59" w:rsidRDefault="00964A69" w:rsidP="00110BE8">
            <w:pPr>
              <w:spacing w:before="60" w:after="60"/>
            </w:pPr>
            <w:r w:rsidRPr="00653A59">
              <w:t>Benjamin </w:t>
            </w:r>
            <w:proofErr w:type="spellStart"/>
            <w:r w:rsidRPr="00653A59">
              <w:t>Bross</w:t>
            </w:r>
            <w:proofErr w:type="spellEnd"/>
            <w:r w:rsidRPr="00653A59">
              <w:t xml:space="preserve"> (Fraunhofer HHI)</w:t>
            </w:r>
          </w:p>
          <w:p w14:paraId="4968EC13" w14:textId="77777777" w:rsidR="00964A69" w:rsidRDefault="004F7DAA" w:rsidP="00110BE8">
            <w:pPr>
              <w:spacing w:before="60" w:after="60"/>
              <w:rPr>
                <w:szCs w:val="22"/>
              </w:rPr>
            </w:pPr>
            <w:r>
              <w:rPr>
                <w:szCs w:val="22"/>
              </w:rPr>
              <w:t>Chris </w:t>
            </w:r>
            <w:r w:rsidR="00964A69" w:rsidRPr="00653A59">
              <w:rPr>
                <w:szCs w:val="22"/>
              </w:rPr>
              <w:t>Rosewarne (Canon)</w:t>
            </w:r>
          </w:p>
          <w:p w14:paraId="59356B25" w14:textId="77777777" w:rsidR="00964A69" w:rsidRPr="00653A59" w:rsidRDefault="00964A69" w:rsidP="00110BE8">
            <w:pPr>
              <w:spacing w:before="60" w:after="60"/>
              <w:rPr>
                <w:szCs w:val="22"/>
              </w:rPr>
            </w:pPr>
            <w:r w:rsidRPr="00653A59">
              <w:t>Jens-Rainer Ohm (</w:t>
            </w:r>
            <w:r w:rsidRPr="00653A59">
              <w:rPr>
                <w:szCs w:val="22"/>
              </w:rPr>
              <w:t>RWTH Aachen)</w:t>
            </w:r>
          </w:p>
          <w:p w14:paraId="715C46E6" w14:textId="77777777" w:rsidR="00964A69" w:rsidRPr="00653A59" w:rsidRDefault="00964A69" w:rsidP="00110BE8">
            <w:pPr>
              <w:spacing w:before="60" w:after="60"/>
            </w:pPr>
            <w:r>
              <w:t>Karl</w:t>
            </w:r>
            <w:r w:rsidR="004F7DAA">
              <w:t> </w:t>
            </w:r>
            <w:r w:rsidRPr="00653A59">
              <w:t>Sharman</w:t>
            </w:r>
            <w:r>
              <w:t xml:space="preserve"> (Sony)</w:t>
            </w:r>
          </w:p>
          <w:p w14:paraId="7C18EB4C" w14:textId="77777777" w:rsidR="00964A69" w:rsidRDefault="00964A69" w:rsidP="00110BE8">
            <w:pPr>
              <w:spacing w:before="60" w:after="60"/>
            </w:pPr>
            <w:r w:rsidRPr="00653A59">
              <w:t>Gary J. Sullivan (Microsoft)</w:t>
            </w:r>
          </w:p>
          <w:p w14:paraId="6307CBA7" w14:textId="78B2D09A" w:rsidR="009901F7" w:rsidRPr="00653A59" w:rsidRDefault="009901F7" w:rsidP="00110BE8">
            <w:pPr>
              <w:spacing w:before="60" w:after="60"/>
            </w:pPr>
            <w:r>
              <w:t>Alexis M. Tourapis</w:t>
            </w:r>
            <w:r w:rsidR="008662B8">
              <w:t xml:space="preserve"> (Apple)</w:t>
            </w:r>
          </w:p>
          <w:p w14:paraId="3D1CA80D" w14:textId="31D4BB79" w:rsidR="00E61DAC" w:rsidRPr="005B217D" w:rsidRDefault="004F7DAA" w:rsidP="00134DFE">
            <w:pPr>
              <w:spacing w:before="60" w:after="60"/>
              <w:rPr>
                <w:szCs w:val="22"/>
                <w:lang w:val="en-CA"/>
              </w:rPr>
            </w:pPr>
            <w:r>
              <w:rPr>
                <w:noProof/>
                <w:szCs w:val="22"/>
                <w:lang w:eastAsia="ko-KR"/>
              </w:rPr>
              <w:t>Ye-Kui </w:t>
            </w:r>
            <w:r w:rsidR="00964A69" w:rsidRPr="00653A59">
              <w:rPr>
                <w:noProof/>
                <w:szCs w:val="22"/>
                <w:lang w:eastAsia="ko-KR"/>
              </w:rPr>
              <w:t>Wang (</w:t>
            </w:r>
            <w:r w:rsidR="008662B8">
              <w:rPr>
                <w:noProof/>
                <w:szCs w:val="22"/>
                <w:lang w:eastAsia="ko-KR"/>
              </w:rPr>
              <w:t>Bytedance</w:t>
            </w:r>
            <w:r w:rsidR="00964A69" w:rsidRPr="00653A59">
              <w:rPr>
                <w:noProof/>
                <w:szCs w:val="22"/>
                <w:lang w:eastAsia="ko-KR"/>
              </w:rPr>
              <w:t>)</w:t>
            </w:r>
          </w:p>
        </w:tc>
        <w:tc>
          <w:tcPr>
            <w:tcW w:w="850" w:type="dxa"/>
          </w:tcPr>
          <w:p w14:paraId="0F67C129" w14:textId="77777777" w:rsidR="00E61DAC" w:rsidRPr="005B217D" w:rsidRDefault="00E61DAC" w:rsidP="00110BE8">
            <w:pPr>
              <w:spacing w:before="60" w:after="60"/>
              <w:rPr>
                <w:szCs w:val="22"/>
                <w:lang w:val="en-CA"/>
              </w:rPr>
            </w:pPr>
            <w:r w:rsidRPr="005B217D">
              <w:rPr>
                <w:szCs w:val="22"/>
                <w:lang w:val="en-CA"/>
              </w:rPr>
              <w:t>Email:</w:t>
            </w:r>
          </w:p>
        </w:tc>
        <w:tc>
          <w:tcPr>
            <w:tcW w:w="3827" w:type="dxa"/>
          </w:tcPr>
          <w:p w14:paraId="1A69EB7B" w14:textId="77777777" w:rsidR="00964A69" w:rsidRPr="00653A59" w:rsidRDefault="00D76579" w:rsidP="00110BE8">
            <w:pPr>
              <w:spacing w:before="60" w:after="60"/>
              <w:rPr>
                <w:lang w:val="en-GB" w:eastAsia="ja-JP"/>
              </w:rPr>
            </w:pPr>
            <w:hyperlink r:id="rId10" w:history="1">
              <w:r w:rsidR="00964A69" w:rsidRPr="00653A59">
                <w:rPr>
                  <w:rStyle w:val="Hyperlink"/>
                  <w:lang w:eastAsia="en-GB"/>
                </w:rPr>
                <w:t>benjamin.bross@hhi.fraunhofer.de</w:t>
              </w:r>
            </w:hyperlink>
            <w:r w:rsidR="00964A69" w:rsidRPr="00653A59">
              <w:rPr>
                <w:lang w:eastAsia="en-GB"/>
              </w:rPr>
              <w:t xml:space="preserve"> </w:t>
            </w:r>
          </w:p>
          <w:p w14:paraId="6C7BA041" w14:textId="77777777" w:rsidR="00964A69" w:rsidRDefault="00D76579" w:rsidP="00110BE8">
            <w:pPr>
              <w:spacing w:before="60" w:after="60"/>
              <w:ind w:left="-157" w:firstLine="157"/>
            </w:pPr>
            <w:hyperlink r:id="rId11" w:history="1">
              <w:r w:rsidR="00025E9C" w:rsidRPr="00B07F65">
                <w:rPr>
                  <w:rStyle w:val="Hyperlink"/>
                </w:rPr>
                <w:t>chris.rosewarne@canon.com.au</w:t>
              </w:r>
            </w:hyperlink>
          </w:p>
          <w:p w14:paraId="5DBFBDE5" w14:textId="77777777" w:rsidR="00964A69" w:rsidRPr="00653A59" w:rsidRDefault="00D76579" w:rsidP="00110BE8">
            <w:pPr>
              <w:spacing w:before="60" w:after="60"/>
              <w:rPr>
                <w:szCs w:val="22"/>
              </w:rPr>
            </w:pPr>
            <w:hyperlink r:id="rId12" w:history="1">
              <w:r w:rsidR="00964A69" w:rsidRPr="00653A59">
                <w:rPr>
                  <w:rStyle w:val="Hyperlink"/>
                  <w:szCs w:val="22"/>
                </w:rPr>
                <w:t>ohm@ient.rwth-aachen.de</w:t>
              </w:r>
            </w:hyperlink>
          </w:p>
          <w:p w14:paraId="1FE4E3C5" w14:textId="77777777" w:rsidR="00964A69" w:rsidRPr="00653A59" w:rsidRDefault="00D76579" w:rsidP="00110BE8">
            <w:pPr>
              <w:spacing w:before="60" w:after="60"/>
              <w:rPr>
                <w:lang w:val="en-GB" w:eastAsia="ja-JP"/>
              </w:rPr>
            </w:pPr>
            <w:hyperlink r:id="rId13" w:history="1">
              <w:r w:rsidR="00FC6296" w:rsidRPr="00177940">
                <w:rPr>
                  <w:rStyle w:val="Hyperlink"/>
                  <w:lang w:val="en-GB" w:eastAsia="ja-JP"/>
                </w:rPr>
                <w:t>karl.sharman@eu.sony.com</w:t>
              </w:r>
            </w:hyperlink>
          </w:p>
          <w:p w14:paraId="2B02AD6C" w14:textId="77777777" w:rsidR="00964A69" w:rsidRDefault="00D76579" w:rsidP="00110BE8">
            <w:pPr>
              <w:spacing w:before="60" w:after="60"/>
              <w:rPr>
                <w:rStyle w:val="Hyperlink"/>
                <w:szCs w:val="22"/>
              </w:rPr>
            </w:pPr>
            <w:hyperlink r:id="rId14" w:history="1">
              <w:r w:rsidR="00964A69" w:rsidRPr="00653A59">
                <w:rPr>
                  <w:rStyle w:val="Hyperlink"/>
                  <w:szCs w:val="22"/>
                </w:rPr>
                <w:t>garysull@microsoft.com</w:t>
              </w:r>
            </w:hyperlink>
          </w:p>
          <w:p w14:paraId="20C3CC32" w14:textId="77777777" w:rsidR="009901F7" w:rsidRPr="00653A59" w:rsidRDefault="00D76579" w:rsidP="00110BE8">
            <w:pPr>
              <w:spacing w:before="60" w:after="60"/>
              <w:rPr>
                <w:szCs w:val="22"/>
              </w:rPr>
            </w:pPr>
            <w:hyperlink r:id="rId15" w:history="1">
              <w:r w:rsidR="009901F7" w:rsidRPr="009901F7">
                <w:rPr>
                  <w:rStyle w:val="Hyperlink"/>
                  <w:szCs w:val="22"/>
                </w:rPr>
                <w:t>alexismt@apple.com</w:t>
              </w:r>
            </w:hyperlink>
          </w:p>
          <w:p w14:paraId="127D6A57" w14:textId="77777777" w:rsidR="00E61DAC" w:rsidRPr="005B217D" w:rsidRDefault="00D76579" w:rsidP="00110BE8">
            <w:pPr>
              <w:spacing w:before="60" w:after="60"/>
              <w:rPr>
                <w:szCs w:val="22"/>
                <w:lang w:val="en-CA"/>
              </w:rPr>
            </w:pPr>
            <w:hyperlink r:id="rId16" w:history="1">
              <w:r w:rsidR="00C600F5" w:rsidRPr="00A107F9">
                <w:rPr>
                  <w:rStyle w:val="Hyperlink"/>
                  <w:noProof/>
                  <w:szCs w:val="22"/>
                  <w:lang w:eastAsia="ko-KR"/>
                </w:rPr>
                <w:t>yekui.wang@bytedance.com</w:t>
              </w:r>
            </w:hyperlink>
          </w:p>
        </w:tc>
      </w:tr>
      <w:tr w:rsidR="00E61DAC" w:rsidRPr="005B217D" w14:paraId="73FFE3FC" w14:textId="77777777" w:rsidTr="005640EB">
        <w:tc>
          <w:tcPr>
            <w:tcW w:w="1458" w:type="dxa"/>
          </w:tcPr>
          <w:p w14:paraId="793D02C3" w14:textId="77777777" w:rsidR="00E61DAC" w:rsidRPr="005B217D" w:rsidRDefault="00E61DAC">
            <w:pPr>
              <w:spacing w:before="60" w:after="60"/>
              <w:rPr>
                <w:i/>
                <w:szCs w:val="22"/>
                <w:lang w:val="en-CA"/>
              </w:rPr>
            </w:pPr>
            <w:r w:rsidRPr="005B217D">
              <w:rPr>
                <w:i/>
                <w:szCs w:val="22"/>
                <w:lang w:val="en-CA"/>
              </w:rPr>
              <w:t>Source:</w:t>
            </w:r>
          </w:p>
        </w:tc>
        <w:tc>
          <w:tcPr>
            <w:tcW w:w="8147" w:type="dxa"/>
            <w:gridSpan w:val="3"/>
          </w:tcPr>
          <w:p w14:paraId="349FDD77" w14:textId="77777777" w:rsidR="00E61DAC" w:rsidRPr="005B217D" w:rsidRDefault="00964A69">
            <w:pPr>
              <w:spacing w:before="60" w:after="60"/>
              <w:rPr>
                <w:szCs w:val="22"/>
                <w:lang w:val="en-CA"/>
              </w:rPr>
            </w:pPr>
            <w:r w:rsidRPr="00653A59">
              <w:rPr>
                <w:szCs w:val="22"/>
                <w:lang w:val="en-GB"/>
              </w:rPr>
              <w:t>AHG</w:t>
            </w:r>
          </w:p>
        </w:tc>
      </w:tr>
    </w:tbl>
    <w:p w14:paraId="3ADA3ED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1AAC275"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6EF2ED59" w14:textId="6DE29F47" w:rsidR="00964A69" w:rsidRPr="005B217D" w:rsidRDefault="00964A69" w:rsidP="00964A69">
      <w:pPr>
        <w:jc w:val="both"/>
        <w:rPr>
          <w:szCs w:val="22"/>
          <w:lang w:val="en-CA"/>
        </w:rPr>
      </w:pPr>
      <w:r w:rsidRPr="007730C8">
        <w:rPr>
          <w:szCs w:val="22"/>
          <w:lang w:val="en-GB"/>
        </w:rPr>
        <w:t xml:space="preserve">This document reports the work of the JCT-VC </w:t>
      </w:r>
      <w:r w:rsidRPr="00A810A9">
        <w:rPr>
          <w:szCs w:val="22"/>
          <w:lang w:val="en-GB"/>
        </w:rPr>
        <w:t>ad hoc</w:t>
      </w:r>
      <w:r w:rsidRPr="006A5211">
        <w:rPr>
          <w:szCs w:val="22"/>
          <w:lang w:val="en-GB"/>
        </w:rPr>
        <w:t xml:space="preserve"> group on</w:t>
      </w:r>
      <w:r w:rsidRPr="003E2E2E">
        <w:rPr>
          <w:szCs w:val="22"/>
          <w:lang w:val="en-GB"/>
        </w:rPr>
        <w:t xml:space="preserve"> </w:t>
      </w:r>
      <w:r w:rsidR="009901F7">
        <w:rPr>
          <w:szCs w:val="22"/>
          <w:lang w:val="en-GB"/>
        </w:rPr>
        <w:t xml:space="preserve">(HEVC and AVC) </w:t>
      </w:r>
      <w:r w:rsidRPr="00E01A75">
        <w:rPr>
          <w:szCs w:val="22"/>
          <w:lang w:val="en-GB"/>
        </w:rPr>
        <w:t xml:space="preserve">test model editing and errata </w:t>
      </w:r>
      <w:r w:rsidRPr="00A47A14">
        <w:rPr>
          <w:szCs w:val="22"/>
          <w:lang w:val="en-GB"/>
        </w:rPr>
        <w:t xml:space="preserve">reporting (AHG2) between </w:t>
      </w:r>
      <w:r>
        <w:rPr>
          <w:szCs w:val="22"/>
          <w:lang w:val="en-CA"/>
        </w:rPr>
        <w:t>the</w:t>
      </w:r>
      <w:r>
        <w:rPr>
          <w:lang w:val="en-CA"/>
        </w:rPr>
        <w:t xml:space="preserve"> </w:t>
      </w:r>
      <w:r w:rsidR="00756F0E">
        <w:rPr>
          <w:lang w:val="en-CA"/>
        </w:rPr>
        <w:t>3</w:t>
      </w:r>
      <w:r w:rsidR="009F64F9">
        <w:rPr>
          <w:lang w:val="en-CA"/>
        </w:rPr>
        <w:t>8</w:t>
      </w:r>
      <w:r w:rsidR="00756F0E" w:rsidRPr="00756F0E">
        <w:rPr>
          <w:vertAlign w:val="superscript"/>
          <w:lang w:val="en-CA"/>
        </w:rPr>
        <w:t>th</w:t>
      </w:r>
      <w:r w:rsidR="00756F0E">
        <w:rPr>
          <w:lang w:val="en-CA"/>
        </w:rPr>
        <w:t xml:space="preserve"> meeting in </w:t>
      </w:r>
      <w:r w:rsidR="009F64F9">
        <w:rPr>
          <w:lang w:val="en-CA"/>
        </w:rPr>
        <w:t>Brussels</w:t>
      </w:r>
      <w:r w:rsidR="00756F0E">
        <w:rPr>
          <w:lang w:val="en-CA"/>
        </w:rPr>
        <w:t xml:space="preserve">, </w:t>
      </w:r>
      <w:r w:rsidR="009F64F9">
        <w:rPr>
          <w:lang w:val="en-CA"/>
        </w:rPr>
        <w:t>B</w:t>
      </w:r>
      <w:r w:rsidR="00756F0E">
        <w:rPr>
          <w:lang w:val="en-CA"/>
        </w:rPr>
        <w:t>E (</w:t>
      </w:r>
      <w:r w:rsidR="009F64F9">
        <w:rPr>
          <w:lang w:val="en-CA"/>
        </w:rPr>
        <w:t>Jan. 2020</w:t>
      </w:r>
      <w:r w:rsidR="00756F0E">
        <w:rPr>
          <w:lang w:val="en-CA"/>
        </w:rPr>
        <w:t>)</w:t>
      </w:r>
      <w:r w:rsidR="007C6FF4">
        <w:rPr>
          <w:lang w:val="en-CA"/>
        </w:rPr>
        <w:t xml:space="preserve"> and the 39</w:t>
      </w:r>
      <w:r w:rsidR="007C6FF4" w:rsidRPr="007C6FF4">
        <w:rPr>
          <w:vertAlign w:val="superscript"/>
          <w:lang w:val="en-CA"/>
        </w:rPr>
        <w:t>th</w:t>
      </w:r>
      <w:r w:rsidR="007C6FF4">
        <w:rPr>
          <w:lang w:val="en-CA"/>
        </w:rPr>
        <w:t xml:space="preserve"> meeting by teleconference</w:t>
      </w:r>
      <w:r w:rsidRPr="00A47A14">
        <w:rPr>
          <w:szCs w:val="22"/>
          <w:lang w:val="en-GB"/>
        </w:rPr>
        <w:t>.</w:t>
      </w:r>
    </w:p>
    <w:p w14:paraId="78887048" w14:textId="77777777" w:rsidR="00745F6B" w:rsidRDefault="00964A69" w:rsidP="00E11923">
      <w:pPr>
        <w:pStyle w:val="Heading1"/>
        <w:rPr>
          <w:lang w:val="en-GB"/>
        </w:rPr>
      </w:pPr>
      <w:r w:rsidRPr="00860E0B">
        <w:rPr>
          <w:lang w:val="en-GB"/>
        </w:rPr>
        <w:t>Mandate</w:t>
      </w:r>
    </w:p>
    <w:p w14:paraId="25486B3A" w14:textId="77777777" w:rsidR="009D457B" w:rsidRPr="009D457B" w:rsidRDefault="009D457B" w:rsidP="009D457B">
      <w:pPr>
        <w:keepNext/>
        <w:jc w:val="both"/>
        <w:rPr>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286"/>
        <w:gridCol w:w="2795"/>
        <w:gridCol w:w="1079"/>
      </w:tblGrid>
      <w:tr w:rsidR="00964A69" w:rsidRPr="00964A69" w14:paraId="1B9D977A" w14:textId="77777777" w:rsidTr="009D16F4">
        <w:trPr>
          <w:cantSplit/>
          <w:jc w:val="center"/>
        </w:trPr>
        <w:tc>
          <w:tcPr>
            <w:tcW w:w="5286" w:type="dxa"/>
          </w:tcPr>
          <w:p w14:paraId="6646474A" w14:textId="77777777" w:rsidR="00964A69" w:rsidRPr="00964A69" w:rsidRDefault="00964A69" w:rsidP="009D16F4">
            <w:pPr>
              <w:keepNext/>
              <w:spacing w:before="40" w:after="40"/>
              <w:rPr>
                <w:b/>
                <w:sz w:val="24"/>
              </w:rPr>
            </w:pPr>
            <w:r w:rsidRPr="00964A69">
              <w:rPr>
                <w:b/>
                <w:sz w:val="24"/>
              </w:rPr>
              <w:t>Title and Email Reflector</w:t>
            </w:r>
          </w:p>
        </w:tc>
        <w:tc>
          <w:tcPr>
            <w:tcW w:w="2795" w:type="dxa"/>
          </w:tcPr>
          <w:p w14:paraId="3129DD11" w14:textId="77777777" w:rsidR="00964A69" w:rsidRPr="00964A69" w:rsidRDefault="00964A69" w:rsidP="009D16F4">
            <w:pPr>
              <w:keepNext/>
              <w:spacing w:before="40" w:after="40"/>
              <w:rPr>
                <w:b/>
                <w:sz w:val="24"/>
              </w:rPr>
            </w:pPr>
            <w:r w:rsidRPr="00964A69">
              <w:rPr>
                <w:b/>
                <w:sz w:val="24"/>
              </w:rPr>
              <w:t>Chairs</w:t>
            </w:r>
          </w:p>
        </w:tc>
        <w:tc>
          <w:tcPr>
            <w:tcW w:w="1079" w:type="dxa"/>
          </w:tcPr>
          <w:p w14:paraId="2E12A055" w14:textId="77777777" w:rsidR="00964A69" w:rsidRPr="00964A69" w:rsidRDefault="00964A69" w:rsidP="009D16F4">
            <w:pPr>
              <w:keepNext/>
              <w:spacing w:before="40" w:after="40"/>
              <w:rPr>
                <w:b/>
                <w:sz w:val="24"/>
              </w:rPr>
            </w:pPr>
            <w:r w:rsidRPr="00964A69">
              <w:rPr>
                <w:b/>
                <w:sz w:val="24"/>
              </w:rPr>
              <w:t>M</w:t>
            </w:r>
            <w:r>
              <w:rPr>
                <w:b/>
                <w:sz w:val="24"/>
              </w:rPr>
              <w:t>ee</w:t>
            </w:r>
            <w:r w:rsidRPr="00964A69">
              <w:rPr>
                <w:b/>
                <w:sz w:val="24"/>
              </w:rPr>
              <w:t>t</w:t>
            </w:r>
            <w:r>
              <w:rPr>
                <w:b/>
                <w:sz w:val="24"/>
              </w:rPr>
              <w:t>in</w:t>
            </w:r>
            <w:r w:rsidRPr="00964A69">
              <w:rPr>
                <w:b/>
                <w:sz w:val="24"/>
              </w:rPr>
              <w:t>g</w:t>
            </w:r>
          </w:p>
        </w:tc>
      </w:tr>
      <w:tr w:rsidR="00964A69" w:rsidRPr="00AA40FF" w14:paraId="4EBF6903" w14:textId="77777777" w:rsidTr="00CC37BF">
        <w:trPr>
          <w:cantSplit/>
          <w:jc w:val="center"/>
        </w:trPr>
        <w:tc>
          <w:tcPr>
            <w:tcW w:w="5286" w:type="dxa"/>
            <w:tcBorders>
              <w:bottom w:val="single" w:sz="4" w:space="0" w:color="auto"/>
            </w:tcBorders>
          </w:tcPr>
          <w:p w14:paraId="07C8D873" w14:textId="77777777" w:rsidR="00207A94" w:rsidRPr="000D4530" w:rsidRDefault="00207A94" w:rsidP="00207A94">
            <w:pPr>
              <w:spacing w:before="40" w:after="40"/>
              <w:rPr>
                <w:b/>
              </w:rPr>
            </w:pPr>
            <w:r>
              <w:rPr>
                <w:b/>
              </w:rPr>
              <w:t>T</w:t>
            </w:r>
            <w:r w:rsidRPr="000D4530">
              <w:rPr>
                <w:b/>
              </w:rPr>
              <w:t>est model editing and errata reporting (AHG2)</w:t>
            </w:r>
          </w:p>
          <w:p w14:paraId="3F245EF0" w14:textId="77777777" w:rsidR="00207A94" w:rsidRPr="00EE268C" w:rsidRDefault="00207A94" w:rsidP="00207A94">
            <w:pPr>
              <w:spacing w:before="40" w:after="40"/>
              <w:ind w:left="360"/>
            </w:pPr>
            <w:r w:rsidRPr="000D4530">
              <w:t>(</w:t>
            </w:r>
            <w:hyperlink r:id="rId17" w:history="1">
              <w:r w:rsidRPr="00EE268C">
                <w:rPr>
                  <w:rStyle w:val="Hyperlink"/>
                </w:rPr>
                <w:t>jct-vc@lists.rwth-aachen.de</w:t>
              </w:r>
            </w:hyperlink>
            <w:r w:rsidRPr="00EE268C">
              <w:t>)</w:t>
            </w:r>
          </w:p>
          <w:p w14:paraId="715AE8A3" w14:textId="2A47ADAA" w:rsidR="00F33807" w:rsidRPr="00521C77" w:rsidRDefault="00F33807" w:rsidP="00F33807">
            <w:pPr>
              <w:numPr>
                <w:ilvl w:val="0"/>
                <w:numId w:val="13"/>
              </w:numPr>
            </w:pPr>
            <w:r w:rsidRPr="00521C77">
              <w:t>Develop proposed improvements to the JCTVC-A</w:t>
            </w:r>
            <w:r>
              <w:t>K</w:t>
            </w:r>
            <w:r w:rsidRPr="00521C77">
              <w:t xml:space="preserve">1002 HEVC Test Model 16 (HM 16) Update </w:t>
            </w:r>
            <w:r>
              <w:t>1</w:t>
            </w:r>
            <w:r w:rsidR="007C6FF4">
              <w:t>3</w:t>
            </w:r>
            <w:r w:rsidRPr="00521C77">
              <w:t xml:space="preserve"> of Encoder Description</w:t>
            </w:r>
          </w:p>
          <w:p w14:paraId="479BB20C" w14:textId="77777777" w:rsidR="00F33807" w:rsidRPr="00521C77" w:rsidRDefault="00F33807" w:rsidP="00F33807">
            <w:pPr>
              <w:numPr>
                <w:ilvl w:val="0"/>
                <w:numId w:val="13"/>
              </w:numPr>
            </w:pPr>
            <w:r w:rsidRPr="00521C77">
              <w:t xml:space="preserve">Collect reports of errata for the HEVC </w:t>
            </w:r>
            <w:r w:rsidRPr="00F33807">
              <w:t>and AVC</w:t>
            </w:r>
            <w:r w:rsidRPr="00521C77">
              <w:t xml:space="preserve"> specification and the published HDR-related technical reports.</w:t>
            </w:r>
          </w:p>
          <w:p w14:paraId="3B0A4183" w14:textId="77777777" w:rsidR="00F33807" w:rsidRPr="00521C77" w:rsidRDefault="00F33807" w:rsidP="00F33807">
            <w:pPr>
              <w:numPr>
                <w:ilvl w:val="0"/>
                <w:numId w:val="13"/>
              </w:numPr>
            </w:pPr>
            <w:r w:rsidRPr="00521C77">
              <w:t>Gather and address comments for refinement of these documents.</w:t>
            </w:r>
          </w:p>
          <w:p w14:paraId="13801F8D" w14:textId="77777777" w:rsidR="00964A69" w:rsidRPr="00AA40FF" w:rsidRDefault="00F33807" w:rsidP="00F33807">
            <w:pPr>
              <w:numPr>
                <w:ilvl w:val="0"/>
                <w:numId w:val="13"/>
              </w:numPr>
            </w:pPr>
            <w:r w:rsidRPr="00521C77">
              <w:t>Coordinate with AHG3 on software development and software technical evaluation to address issues relating to mismatches between software and text</w:t>
            </w:r>
            <w:r w:rsidR="00150BD8" w:rsidRPr="00521C77">
              <w:t>.</w:t>
            </w:r>
            <w:r w:rsidR="00207A94">
              <w:br/>
            </w:r>
          </w:p>
        </w:tc>
        <w:tc>
          <w:tcPr>
            <w:tcW w:w="2795" w:type="dxa"/>
          </w:tcPr>
          <w:p w14:paraId="35471959" w14:textId="77777777" w:rsidR="00964A69" w:rsidRPr="00AA40FF" w:rsidRDefault="00207A94" w:rsidP="00B4060E">
            <w:r w:rsidRPr="000D4530">
              <w:t>B. </w:t>
            </w:r>
            <w:proofErr w:type="spellStart"/>
            <w:r w:rsidRPr="000D4530">
              <w:t>Bross</w:t>
            </w:r>
            <w:proofErr w:type="spellEnd"/>
            <w:r w:rsidRPr="000D4530">
              <w:t>, C. Rosewarne (co</w:t>
            </w:r>
            <w:r w:rsidRPr="000D4530">
              <w:noBreakHyphen/>
              <w:t>chairs), J.</w:t>
            </w:r>
            <w:r w:rsidRPr="000D4530">
              <w:noBreakHyphen/>
              <w:t xml:space="preserve">R. Ohm, K. Sharman, G. J. Sullivan, </w:t>
            </w:r>
            <w:r>
              <w:t xml:space="preserve">A. Tourapis, </w:t>
            </w:r>
            <w:r w:rsidRPr="000D4530">
              <w:t>Y.</w:t>
            </w:r>
            <w:r w:rsidRPr="000D4530">
              <w:noBreakHyphen/>
              <w:t>K. Wang (vice</w:t>
            </w:r>
            <w:r w:rsidRPr="000D4530">
              <w:noBreakHyphen/>
              <w:t>chairs)</w:t>
            </w:r>
          </w:p>
        </w:tc>
        <w:tc>
          <w:tcPr>
            <w:tcW w:w="1079" w:type="dxa"/>
          </w:tcPr>
          <w:p w14:paraId="03A43CDC" w14:textId="77777777" w:rsidR="00964A69" w:rsidRPr="00AA40FF" w:rsidRDefault="00964A69" w:rsidP="009D16F4">
            <w:r w:rsidRPr="00AA40FF">
              <w:t>N</w:t>
            </w:r>
          </w:p>
        </w:tc>
      </w:tr>
    </w:tbl>
    <w:p w14:paraId="202C6E8F" w14:textId="77777777" w:rsidR="00696E2B" w:rsidRPr="00696E2B" w:rsidRDefault="00696E2B" w:rsidP="00696E2B">
      <w:pPr>
        <w:spacing w:before="120" w:after="120"/>
        <w:jc w:val="both"/>
      </w:pPr>
    </w:p>
    <w:p w14:paraId="639A2EF3" w14:textId="77777777" w:rsidR="002300C0" w:rsidRPr="0030252A" w:rsidRDefault="002300C0" w:rsidP="002300C0">
      <w:pPr>
        <w:pStyle w:val="Heading1"/>
        <w:numPr>
          <w:ilvl w:val="0"/>
          <w:numId w:val="14"/>
        </w:numPr>
        <w:spacing w:after="120"/>
      </w:pPr>
      <w:r w:rsidRPr="0030252A">
        <w:rPr>
          <w:lang w:val="en-GB"/>
        </w:rPr>
        <w:lastRenderedPageBreak/>
        <w:t xml:space="preserve">Status of AHG2 </w:t>
      </w:r>
      <w:r w:rsidR="009D457B">
        <w:rPr>
          <w:lang w:val="en-GB"/>
        </w:rPr>
        <w:t>w</w:t>
      </w:r>
      <w:r w:rsidRPr="0030252A">
        <w:rPr>
          <w:lang w:val="en-GB"/>
        </w:rPr>
        <w:t>ork</w:t>
      </w:r>
    </w:p>
    <w:p w14:paraId="3939D844" w14:textId="3388895A" w:rsidR="00C3714F" w:rsidRDefault="00C3714F" w:rsidP="00EF73BA">
      <w:pPr>
        <w:pStyle w:val="Heading2"/>
      </w:pPr>
      <w:r>
        <w:t xml:space="preserve">JCTVC-AL1004 </w:t>
      </w:r>
      <w:r w:rsidRPr="00C3714F">
        <w:t>Errata report items for HEVC, AVC, Video CICP, and CP usage TR</w:t>
      </w:r>
    </w:p>
    <w:p w14:paraId="180A1C49" w14:textId="67D074F2" w:rsidR="00C3714F" w:rsidRPr="00C3714F" w:rsidRDefault="00C3714F" w:rsidP="00C3714F">
      <w:r>
        <w:t>At the time of preparing this AHG2 report, JCT-VC output document JCTVC-AL1004 was not available in the document register.</w:t>
      </w:r>
    </w:p>
    <w:p w14:paraId="2D0819AA" w14:textId="224B2E3E" w:rsidR="00EF73BA" w:rsidRPr="001733A9" w:rsidRDefault="00EF73BA" w:rsidP="00EF73BA">
      <w:pPr>
        <w:pStyle w:val="Heading2"/>
      </w:pPr>
      <w:r w:rsidRPr="001733A9">
        <w:t>JCTVC-A</w:t>
      </w:r>
      <w:r w:rsidR="007C6FF4">
        <w:t>L</w:t>
      </w:r>
      <w:r w:rsidRPr="001733A9">
        <w:t xml:space="preserve">1002 </w:t>
      </w:r>
      <w:r w:rsidR="001733A9" w:rsidRPr="001733A9">
        <w:t>revised encoder description</w:t>
      </w:r>
    </w:p>
    <w:p w14:paraId="6A2890A7" w14:textId="6DA8AF87" w:rsidR="007C6FF4" w:rsidRDefault="00A644A0" w:rsidP="00EF73BA">
      <w:r>
        <w:t>Update 1</w:t>
      </w:r>
      <w:r w:rsidR="007C6FF4">
        <w:t>3</w:t>
      </w:r>
      <w:r>
        <w:t xml:space="preserve"> of the Encoder Description (JCTVC-A</w:t>
      </w:r>
      <w:r w:rsidR="007C6FF4">
        <w:t>L</w:t>
      </w:r>
      <w:r>
        <w:t xml:space="preserve">1002) was </w:t>
      </w:r>
      <w:r w:rsidR="00F8675E">
        <w:t xml:space="preserve">prepared and </w:t>
      </w:r>
      <w:r>
        <w:t xml:space="preserve">uploaded, incorporating </w:t>
      </w:r>
      <w:r w:rsidR="007C6FF4">
        <w:t>expanded description of the quantization process along with numerous editorial improvements</w:t>
      </w:r>
      <w:r>
        <w:t>.</w:t>
      </w:r>
    </w:p>
    <w:p w14:paraId="750C1CF9" w14:textId="7BD125C8" w:rsidR="00D36A22" w:rsidRDefault="0086180B" w:rsidP="005E0A1E">
      <w:pPr>
        <w:pStyle w:val="Heading2"/>
      </w:pPr>
      <w:r>
        <w:t xml:space="preserve">Absence of “persistence flag” for </w:t>
      </w:r>
      <w:r w:rsidR="00D36A22">
        <w:t>Annotated Region SEI message</w:t>
      </w:r>
    </w:p>
    <w:p w14:paraId="29340CEB" w14:textId="6569F322" w:rsidR="00D36A22" w:rsidRPr="00D36A22" w:rsidRDefault="00D36A22" w:rsidP="00D36A22">
      <w:r>
        <w:t>In all SEI messages that have a "cancel flag", there is also a corresponding "persistence flag", except in the case of the newly adopted annotated regions SEI message. Without this flag, it is not possible to indicate that the annotated regions information applies only to the current picture. Due to the extensibility provision that is built into the SEI message syntax, it would be possible to append a persistence flag at the end of the syntax to correct this likely oversight. The presence of the extra flag could be optional (conditioned on whether there is more data in the SEI message), so that encoders built for the original syntax would still be conforming. When the flag is not present, it would be inferred to be equal to 1.</w:t>
      </w:r>
      <w:r>
        <w:br/>
      </w:r>
    </w:p>
    <w:p w14:paraId="6DF6738C" w14:textId="5BFF87DD" w:rsidR="005E0A1E" w:rsidRDefault="005E0A1E" w:rsidP="005E0A1E">
      <w:pPr>
        <w:pStyle w:val="Heading2"/>
      </w:pPr>
      <w:r>
        <w:t>Input documents</w:t>
      </w:r>
    </w:p>
    <w:p w14:paraId="22BBC18A" w14:textId="2A7834C7" w:rsidR="00150BD8" w:rsidRDefault="007C6FF4" w:rsidP="00A644A0">
      <w:r>
        <w:t xml:space="preserve">The following </w:t>
      </w:r>
      <w:r w:rsidR="00A644A0" w:rsidRPr="000C076E">
        <w:t>input document w</w:t>
      </w:r>
      <w:r>
        <w:t>as</w:t>
      </w:r>
      <w:r w:rsidR="00A644A0" w:rsidRPr="000C076E">
        <w:t xml:space="preserve"> noted</w:t>
      </w:r>
      <w:r w:rsidR="00293835" w:rsidRPr="000C076E">
        <w:t xml:space="preserve"> </w:t>
      </w:r>
      <w:r w:rsidR="00A644A0" w:rsidRPr="000C076E">
        <w:t>as</w:t>
      </w:r>
      <w:r w:rsidR="00A644A0">
        <w:t xml:space="preserve"> being of </w:t>
      </w:r>
      <w:r w:rsidR="00150BD8">
        <w:t>relevance to mandate 2 of the AHG</w:t>
      </w:r>
      <w:r>
        <w:t>:</w:t>
      </w:r>
    </w:p>
    <w:p w14:paraId="608D6F63" w14:textId="78380498" w:rsidR="007C6FF4" w:rsidRDefault="007C6FF4" w:rsidP="007C6FF4">
      <w:pPr>
        <w:pStyle w:val="ListParagraph"/>
        <w:numPr>
          <w:ilvl w:val="0"/>
          <w:numId w:val="28"/>
        </w:numPr>
      </w:pPr>
      <w:r>
        <w:t xml:space="preserve">JCTVC-AM0021 - </w:t>
      </w:r>
      <w:r w:rsidRPr="007C6FF4">
        <w:t>On Errata items for HEVC, AVC, and Video CICP</w:t>
      </w:r>
    </w:p>
    <w:p w14:paraId="17FC9264" w14:textId="77777777" w:rsidR="00EF73BA" w:rsidRDefault="00EF73BA" w:rsidP="00014FCC"/>
    <w:p w14:paraId="4F88D633" w14:textId="77777777" w:rsidR="00274408" w:rsidRDefault="00274408" w:rsidP="00274408">
      <w:pPr>
        <w:pStyle w:val="Heading2"/>
      </w:pPr>
      <w:r>
        <w:t>Text ticket review</w:t>
      </w:r>
    </w:p>
    <w:tbl>
      <w:tblPr>
        <w:tblW w:w="9351" w:type="dxa"/>
        <w:shd w:val="clear" w:color="auto" w:fill="FFFFFF"/>
        <w:tblCellMar>
          <w:left w:w="0" w:type="dxa"/>
          <w:right w:w="0" w:type="dxa"/>
        </w:tblCellMar>
        <w:tblLook w:val="04A0" w:firstRow="1" w:lastRow="0" w:firstColumn="1" w:lastColumn="0" w:noHBand="0" w:noVBand="1"/>
      </w:tblPr>
      <w:tblGrid>
        <w:gridCol w:w="989"/>
        <w:gridCol w:w="3965"/>
        <w:gridCol w:w="4397"/>
      </w:tblGrid>
      <w:tr w:rsidR="00274408" w:rsidRPr="00274408" w14:paraId="5294BABA" w14:textId="77777777" w:rsidTr="00274408">
        <w:tc>
          <w:tcPr>
            <w:tcW w:w="0" w:type="auto"/>
            <w:tcBorders>
              <w:top w:val="single" w:sz="6" w:space="0" w:color="DFE2E5"/>
              <w:left w:val="single" w:sz="6" w:space="0" w:color="DFE2E5"/>
              <w:bottom w:val="nil"/>
              <w:right w:val="single" w:sz="6" w:space="0" w:color="DFE2E5"/>
            </w:tcBorders>
            <w:shd w:val="clear" w:color="auto" w:fill="F8F8F8"/>
            <w:tcMar>
              <w:top w:w="90" w:type="dxa"/>
              <w:left w:w="195" w:type="dxa"/>
              <w:bottom w:w="90" w:type="dxa"/>
              <w:right w:w="195" w:type="dxa"/>
            </w:tcMar>
            <w:vAlign w:val="center"/>
            <w:hideMark/>
          </w:tcPr>
          <w:p w14:paraId="4F8E547E"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rPr>
                <w:b/>
              </w:rPr>
            </w:pPr>
            <w:r w:rsidRPr="00274408">
              <w:rPr>
                <w:b/>
              </w:rPr>
              <w:t>Ticket</w:t>
            </w:r>
          </w:p>
        </w:tc>
        <w:tc>
          <w:tcPr>
            <w:tcW w:w="3965" w:type="dxa"/>
            <w:tcBorders>
              <w:top w:val="single" w:sz="6" w:space="0" w:color="DFE2E5"/>
              <w:left w:val="single" w:sz="6" w:space="0" w:color="DFE2E5"/>
              <w:bottom w:val="nil"/>
              <w:right w:val="single" w:sz="6" w:space="0" w:color="DFE2E5"/>
            </w:tcBorders>
            <w:shd w:val="clear" w:color="auto" w:fill="F8F8F8"/>
            <w:tcMar>
              <w:top w:w="90" w:type="dxa"/>
              <w:left w:w="195" w:type="dxa"/>
              <w:bottom w:w="90" w:type="dxa"/>
              <w:right w:w="195" w:type="dxa"/>
            </w:tcMar>
            <w:vAlign w:val="center"/>
            <w:hideMark/>
          </w:tcPr>
          <w:p w14:paraId="224C4A2E"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rPr>
                <w:b/>
              </w:rPr>
            </w:pPr>
            <w:r w:rsidRPr="00274408">
              <w:rPr>
                <w:b/>
              </w:rPr>
              <w:t>One liner</w:t>
            </w:r>
          </w:p>
        </w:tc>
        <w:tc>
          <w:tcPr>
            <w:tcW w:w="4397" w:type="dxa"/>
            <w:tcBorders>
              <w:top w:val="single" w:sz="6" w:space="0" w:color="DFE2E5"/>
              <w:left w:val="single" w:sz="6" w:space="0" w:color="DFE2E5"/>
              <w:bottom w:val="nil"/>
              <w:right w:val="single" w:sz="6" w:space="0" w:color="DFE2E5"/>
            </w:tcBorders>
            <w:shd w:val="clear" w:color="auto" w:fill="F8F8F8"/>
            <w:tcMar>
              <w:top w:w="90" w:type="dxa"/>
              <w:left w:w="195" w:type="dxa"/>
              <w:bottom w:w="90" w:type="dxa"/>
              <w:right w:w="195" w:type="dxa"/>
            </w:tcMar>
            <w:vAlign w:val="center"/>
            <w:hideMark/>
          </w:tcPr>
          <w:p w14:paraId="63C68978"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rPr>
                <w:b/>
              </w:rPr>
            </w:pPr>
            <w:r w:rsidRPr="00274408">
              <w:rPr>
                <w:b/>
              </w:rPr>
              <w:t>Status</w:t>
            </w:r>
          </w:p>
        </w:tc>
      </w:tr>
      <w:tr w:rsidR="00494091" w:rsidRPr="00274408" w14:paraId="41665A3A" w14:textId="77777777" w:rsidTr="00274408">
        <w:tc>
          <w:tcPr>
            <w:tcW w:w="0" w:type="auto"/>
            <w:tcBorders>
              <w:top w:val="single" w:sz="6" w:space="0" w:color="DFE2E5"/>
              <w:left w:val="single" w:sz="6" w:space="0" w:color="DFE2E5"/>
              <w:bottom w:val="single" w:sz="6" w:space="0" w:color="DFE2E5"/>
              <w:right w:val="single" w:sz="6" w:space="0" w:color="DFE2E5"/>
            </w:tcBorders>
            <w:shd w:val="clear" w:color="auto" w:fill="F8F8F8"/>
            <w:tcMar>
              <w:top w:w="90" w:type="dxa"/>
              <w:left w:w="195" w:type="dxa"/>
              <w:bottom w:w="90" w:type="dxa"/>
              <w:right w:w="195" w:type="dxa"/>
            </w:tcMar>
            <w:vAlign w:val="center"/>
          </w:tcPr>
          <w:p w14:paraId="4EAEBE79" w14:textId="1863DE4F" w:rsidR="00494091" w:rsidRPr="00274408" w:rsidRDefault="00494091" w:rsidP="00274408">
            <w:pPr>
              <w:tabs>
                <w:tab w:val="clear" w:pos="360"/>
                <w:tab w:val="clear" w:pos="720"/>
                <w:tab w:val="clear" w:pos="1080"/>
                <w:tab w:val="clear" w:pos="1440"/>
              </w:tabs>
              <w:overflowPunct/>
              <w:autoSpaceDE/>
              <w:autoSpaceDN/>
              <w:adjustRightInd/>
              <w:spacing w:before="0"/>
              <w:textAlignment w:val="auto"/>
            </w:pPr>
            <w:r>
              <w:t>1505</w:t>
            </w:r>
          </w:p>
        </w:tc>
        <w:tc>
          <w:tcPr>
            <w:tcW w:w="3965" w:type="dxa"/>
            <w:tcBorders>
              <w:top w:val="single" w:sz="6" w:space="0" w:color="DFE2E5"/>
              <w:left w:val="single" w:sz="6" w:space="0" w:color="DFE2E5"/>
              <w:bottom w:val="single" w:sz="6" w:space="0" w:color="DFE2E5"/>
              <w:right w:val="single" w:sz="6" w:space="0" w:color="DFE2E5"/>
            </w:tcBorders>
            <w:shd w:val="clear" w:color="auto" w:fill="F8F8F8"/>
            <w:tcMar>
              <w:top w:w="90" w:type="dxa"/>
              <w:left w:w="195" w:type="dxa"/>
              <w:bottom w:w="90" w:type="dxa"/>
              <w:right w:w="195" w:type="dxa"/>
            </w:tcMar>
            <w:vAlign w:val="center"/>
          </w:tcPr>
          <w:p w14:paraId="20CDF6B5" w14:textId="0D1686CA" w:rsidR="00494091" w:rsidRPr="00274408" w:rsidRDefault="00CA2CD0" w:rsidP="00274408">
            <w:pPr>
              <w:tabs>
                <w:tab w:val="clear" w:pos="360"/>
                <w:tab w:val="clear" w:pos="720"/>
                <w:tab w:val="clear" w:pos="1080"/>
                <w:tab w:val="clear" w:pos="1440"/>
              </w:tabs>
              <w:overflowPunct/>
              <w:autoSpaceDE/>
              <w:autoSpaceDN/>
              <w:adjustRightInd/>
              <w:spacing w:before="0"/>
              <w:textAlignment w:val="auto"/>
            </w:pPr>
            <w:r>
              <w:t>Relates to semantics of AUs appearing after an ‘end of sequence’ or ‘end of bitstream’ NAL unit.</w:t>
            </w:r>
          </w:p>
        </w:tc>
        <w:tc>
          <w:tcPr>
            <w:tcW w:w="4397" w:type="dxa"/>
            <w:tcBorders>
              <w:top w:val="single" w:sz="6" w:space="0" w:color="DFE2E5"/>
              <w:left w:val="single" w:sz="6" w:space="0" w:color="DFE2E5"/>
              <w:bottom w:val="single" w:sz="6" w:space="0" w:color="DFE2E5"/>
              <w:right w:val="single" w:sz="6" w:space="0" w:color="DFE2E5"/>
            </w:tcBorders>
            <w:shd w:val="clear" w:color="auto" w:fill="F8F8F8"/>
            <w:tcMar>
              <w:top w:w="90" w:type="dxa"/>
              <w:left w:w="195" w:type="dxa"/>
              <w:bottom w:w="90" w:type="dxa"/>
              <w:right w:w="195" w:type="dxa"/>
            </w:tcMar>
            <w:vAlign w:val="center"/>
          </w:tcPr>
          <w:p w14:paraId="187E53ED" w14:textId="10582015" w:rsidR="00494091" w:rsidRPr="00274408" w:rsidRDefault="00494091" w:rsidP="00274408">
            <w:pPr>
              <w:tabs>
                <w:tab w:val="clear" w:pos="360"/>
                <w:tab w:val="clear" w:pos="720"/>
                <w:tab w:val="clear" w:pos="1080"/>
                <w:tab w:val="clear" w:pos="1440"/>
              </w:tabs>
              <w:overflowPunct/>
              <w:autoSpaceDE/>
              <w:autoSpaceDN/>
              <w:adjustRightInd/>
              <w:spacing w:before="0"/>
              <w:textAlignment w:val="auto"/>
            </w:pPr>
            <w:r>
              <w:t xml:space="preserve">New ticket </w:t>
            </w:r>
          </w:p>
        </w:tc>
      </w:tr>
      <w:tr w:rsidR="00274408" w:rsidRPr="00274408" w14:paraId="48FBFA1E" w14:textId="77777777" w:rsidTr="00274408">
        <w:tc>
          <w:tcPr>
            <w:tcW w:w="0" w:type="auto"/>
            <w:tcBorders>
              <w:top w:val="single" w:sz="6" w:space="0" w:color="DFE2E5"/>
              <w:left w:val="single" w:sz="6" w:space="0" w:color="DFE2E5"/>
              <w:bottom w:val="single" w:sz="6" w:space="0" w:color="DFE2E5"/>
              <w:right w:val="single" w:sz="6" w:space="0" w:color="DFE2E5"/>
            </w:tcBorders>
            <w:shd w:val="clear" w:color="auto" w:fill="F8F8F8"/>
            <w:tcMar>
              <w:top w:w="90" w:type="dxa"/>
              <w:left w:w="195" w:type="dxa"/>
              <w:bottom w:w="90" w:type="dxa"/>
              <w:right w:w="195" w:type="dxa"/>
            </w:tcMar>
            <w:vAlign w:val="center"/>
            <w:hideMark/>
          </w:tcPr>
          <w:p w14:paraId="7CF7F64F"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1504</w:t>
            </w:r>
          </w:p>
        </w:tc>
        <w:tc>
          <w:tcPr>
            <w:tcW w:w="3965" w:type="dxa"/>
            <w:tcBorders>
              <w:top w:val="single" w:sz="6" w:space="0" w:color="DFE2E5"/>
              <w:left w:val="single" w:sz="6" w:space="0" w:color="DFE2E5"/>
              <w:bottom w:val="single" w:sz="6" w:space="0" w:color="DFE2E5"/>
              <w:right w:val="single" w:sz="6" w:space="0" w:color="DFE2E5"/>
            </w:tcBorders>
            <w:shd w:val="clear" w:color="auto" w:fill="F8F8F8"/>
            <w:tcMar>
              <w:top w:w="90" w:type="dxa"/>
              <w:left w:w="195" w:type="dxa"/>
              <w:bottom w:w="90" w:type="dxa"/>
              <w:right w:w="195" w:type="dxa"/>
            </w:tcMar>
            <w:vAlign w:val="center"/>
            <w:hideMark/>
          </w:tcPr>
          <w:p w14:paraId="4FB139B2"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 xml:space="preserve">Small typos in </w:t>
            </w:r>
            <w:proofErr w:type="spellStart"/>
            <w:r w:rsidRPr="00274408">
              <w:t>profile_tier_level</w:t>
            </w:r>
            <w:proofErr w:type="spellEnd"/>
            <w:r w:rsidRPr="00274408">
              <w:t xml:space="preserve"> syntax in tabular form (7.3.3)</w:t>
            </w:r>
          </w:p>
        </w:tc>
        <w:tc>
          <w:tcPr>
            <w:tcW w:w="4397" w:type="dxa"/>
            <w:tcBorders>
              <w:top w:val="single" w:sz="6" w:space="0" w:color="DFE2E5"/>
              <w:left w:val="single" w:sz="6" w:space="0" w:color="DFE2E5"/>
              <w:bottom w:val="single" w:sz="6" w:space="0" w:color="DFE2E5"/>
              <w:right w:val="single" w:sz="6" w:space="0" w:color="DFE2E5"/>
            </w:tcBorders>
            <w:shd w:val="clear" w:color="auto" w:fill="F8F8F8"/>
            <w:tcMar>
              <w:top w:w="90" w:type="dxa"/>
              <w:left w:w="195" w:type="dxa"/>
              <w:bottom w:w="90" w:type="dxa"/>
              <w:right w:w="195" w:type="dxa"/>
            </w:tcMar>
            <w:vAlign w:val="center"/>
            <w:hideMark/>
          </w:tcPr>
          <w:p w14:paraId="5CFF4B63"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 xml:space="preserve">Aspect 1: Extra ')' is still present in H.265 (11/19) Aspect 2: </w:t>
            </w:r>
            <w:proofErr w:type="spellStart"/>
            <w:r w:rsidRPr="00274408">
              <w:t>sub_layer_profile_compatibility_flag</w:t>
            </w:r>
            <w:proofErr w:type="spellEnd"/>
            <w:r w:rsidRPr="00274408">
              <w:t xml:space="preserve"> </w:t>
            </w:r>
            <w:proofErr w:type="gramStart"/>
            <w:r w:rsidRPr="00274408">
              <w:t>missing[</w:t>
            </w:r>
            <w:proofErr w:type="gramEnd"/>
            <w:r w:rsidRPr="00274408">
              <w:t xml:space="preserve"> </w:t>
            </w:r>
            <w:proofErr w:type="spellStart"/>
            <w:r w:rsidRPr="00274408">
              <w:t>i</w:t>
            </w:r>
            <w:proofErr w:type="spellEnd"/>
            <w:r w:rsidRPr="00274408">
              <w:t xml:space="preserve"> ] issue confirmed fixed in H.265 (11/19).</w:t>
            </w:r>
          </w:p>
        </w:tc>
      </w:tr>
      <w:tr w:rsidR="00274408" w:rsidRPr="00274408" w14:paraId="0CB62F99" w14:textId="77777777" w:rsidTr="00274408">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05B732FC"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1500</w:t>
            </w:r>
          </w:p>
        </w:tc>
        <w:tc>
          <w:tcPr>
            <w:tcW w:w="3965"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602B981B"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typo in equation (8-69</w:t>
            </w:r>
            <w:proofErr w:type="gramStart"/>
            <w:r w:rsidRPr="00274408">
              <w:t>),(</w:t>
            </w:r>
            <w:proofErr w:type="gramEnd"/>
            <w:r w:rsidRPr="00274408">
              <w:t>8-70) (</w:t>
            </w:r>
            <w:proofErr w:type="spellStart"/>
            <w:r w:rsidRPr="00274408">
              <w:t>palette_transpose_flag</w:t>
            </w:r>
            <w:proofErr w:type="spellEnd"/>
            <w:r w:rsidRPr="00274408">
              <w:t xml:space="preserve"> not transposing)</w:t>
            </w:r>
          </w:p>
        </w:tc>
        <w:tc>
          <w:tcPr>
            <w:tcW w:w="4397"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0377243F"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Confirmed present in H.265 (11/19).</w:t>
            </w:r>
          </w:p>
        </w:tc>
      </w:tr>
      <w:tr w:rsidR="00274408" w:rsidRPr="00274408" w14:paraId="6512A891" w14:textId="77777777" w:rsidTr="00274408">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48EBDB0C"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1498</w:t>
            </w:r>
          </w:p>
        </w:tc>
        <w:tc>
          <w:tcPr>
            <w:tcW w:w="3965"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1B3F4742" w14:textId="1726372C"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 xml:space="preserve">Typos in Table 9-43 (for </w:t>
            </w:r>
            <w:proofErr w:type="spellStart"/>
            <w:r w:rsidRPr="00274408">
              <w:t>palette_run_suffix</w:t>
            </w:r>
            <w:proofErr w:type="spellEnd"/>
            <w:r w:rsidRPr="00274408">
              <w:t xml:space="preserve"> </w:t>
            </w:r>
            <w:proofErr w:type="spellStart"/>
            <w:r w:rsidRPr="00274408">
              <w:t>PalletMaxRun</w:t>
            </w:r>
            <w:proofErr w:type="spellEnd"/>
            <w:r w:rsidRPr="00274408">
              <w:t xml:space="preserve"> should be PalletMaxRunMinus1)</w:t>
            </w:r>
          </w:p>
        </w:tc>
        <w:tc>
          <w:tcPr>
            <w:tcW w:w="4397"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659D7808"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Confirmed present in H.265 (11/19).</w:t>
            </w:r>
          </w:p>
        </w:tc>
      </w:tr>
      <w:tr w:rsidR="00274408" w:rsidRPr="00274408" w14:paraId="7BAE503C" w14:textId="77777777" w:rsidTr="00274408">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05CC1210"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1491</w:t>
            </w:r>
          </w:p>
        </w:tc>
        <w:tc>
          <w:tcPr>
            <w:tcW w:w="3965"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00DD96C8" w14:textId="77777777"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 xml:space="preserve">duplicate invocation of 9.3.4.3 arithmetic decoding process (invoked both in 9.3.4.1 </w:t>
            </w:r>
            <w:proofErr w:type="gramStart"/>
            <w:r w:rsidRPr="00274408">
              <w:t>and also</w:t>
            </w:r>
            <w:proofErr w:type="gramEnd"/>
            <w:r w:rsidRPr="00274408">
              <w:t xml:space="preserve"> in 9.3.4.2).</w:t>
            </w:r>
          </w:p>
        </w:tc>
        <w:tc>
          <w:tcPr>
            <w:tcW w:w="4397"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hideMark/>
          </w:tcPr>
          <w:p w14:paraId="4FEE1527" w14:textId="28D43D7C" w:rsidR="00274408" w:rsidRPr="00274408" w:rsidRDefault="00274408" w:rsidP="00274408">
            <w:pPr>
              <w:tabs>
                <w:tab w:val="clear" w:pos="360"/>
                <w:tab w:val="clear" w:pos="720"/>
                <w:tab w:val="clear" w:pos="1080"/>
                <w:tab w:val="clear" w:pos="1440"/>
              </w:tabs>
              <w:overflowPunct/>
              <w:autoSpaceDE/>
              <w:autoSpaceDN/>
              <w:adjustRightInd/>
              <w:spacing w:before="0"/>
              <w:textAlignment w:val="auto"/>
            </w:pPr>
            <w:r w:rsidRPr="00274408">
              <w:t xml:space="preserve">Confirmed present in H.265 (11/19) - </w:t>
            </w:r>
            <w:r w:rsidR="00D76999">
              <w:t>confirm whether action is needed</w:t>
            </w:r>
            <w:r w:rsidRPr="00274408">
              <w:t>)</w:t>
            </w:r>
          </w:p>
        </w:tc>
      </w:tr>
      <w:tr w:rsidR="00392EE6" w:rsidRPr="00274408" w14:paraId="12C524A5" w14:textId="77777777" w:rsidTr="00274408">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tcPr>
          <w:p w14:paraId="6F710278" w14:textId="0BB3B6EA" w:rsidR="00392EE6" w:rsidRPr="00274408" w:rsidRDefault="00392EE6" w:rsidP="00274408">
            <w:pPr>
              <w:tabs>
                <w:tab w:val="clear" w:pos="360"/>
                <w:tab w:val="clear" w:pos="720"/>
                <w:tab w:val="clear" w:pos="1080"/>
                <w:tab w:val="clear" w:pos="1440"/>
              </w:tabs>
              <w:overflowPunct/>
              <w:autoSpaceDE/>
              <w:autoSpaceDN/>
              <w:adjustRightInd/>
              <w:spacing w:before="0"/>
              <w:textAlignment w:val="auto"/>
            </w:pPr>
            <w:r>
              <w:lastRenderedPageBreak/>
              <w:t>1489</w:t>
            </w:r>
          </w:p>
        </w:tc>
        <w:tc>
          <w:tcPr>
            <w:tcW w:w="3965"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tcPr>
          <w:p w14:paraId="5D78AFBA" w14:textId="371AB9F9" w:rsidR="00392EE6" w:rsidRPr="00274408" w:rsidRDefault="005063E5" w:rsidP="00274408">
            <w:pPr>
              <w:tabs>
                <w:tab w:val="clear" w:pos="360"/>
                <w:tab w:val="clear" w:pos="720"/>
                <w:tab w:val="clear" w:pos="1080"/>
                <w:tab w:val="clear" w:pos="1440"/>
              </w:tabs>
              <w:overflowPunct/>
              <w:autoSpaceDE/>
              <w:autoSpaceDN/>
              <w:adjustRightInd/>
              <w:spacing w:before="0"/>
              <w:textAlignment w:val="auto"/>
            </w:pPr>
            <w:r w:rsidRPr="0075329B">
              <w:t xml:space="preserve">Alleged error in </w:t>
            </w:r>
            <w:r w:rsidR="0075329B" w:rsidRPr="0075329B">
              <w:t>range LPS table update</w:t>
            </w:r>
          </w:p>
        </w:tc>
        <w:tc>
          <w:tcPr>
            <w:tcW w:w="4397"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tcPr>
          <w:p w14:paraId="79FA4F67" w14:textId="16BF0E56" w:rsidR="00392EE6" w:rsidRPr="00274408" w:rsidRDefault="009371EE" w:rsidP="00274408">
            <w:pPr>
              <w:tabs>
                <w:tab w:val="clear" w:pos="360"/>
                <w:tab w:val="clear" w:pos="720"/>
                <w:tab w:val="clear" w:pos="1080"/>
                <w:tab w:val="clear" w:pos="1440"/>
              </w:tabs>
              <w:overflowPunct/>
              <w:autoSpaceDE/>
              <w:autoSpaceDN/>
              <w:adjustRightInd/>
              <w:spacing w:before="0"/>
              <w:textAlignment w:val="auto"/>
            </w:pPr>
            <w:r>
              <w:t>The example in the ticket is believed to be incorrect as the steps do not match Figure 9-6 (Flowchart for decoding a decision). In particular, the renormalization should be the last step and hence the example should begin with already renormalized inputs.</w:t>
            </w:r>
            <w:bookmarkStart w:id="0" w:name="_GoBack"/>
            <w:bookmarkEnd w:id="0"/>
          </w:p>
        </w:tc>
      </w:tr>
      <w:tr w:rsidR="00392EE6" w:rsidRPr="00274408" w14:paraId="611BD2AE" w14:textId="77777777" w:rsidTr="00274408">
        <w:tc>
          <w:tcPr>
            <w:tcW w:w="0" w:type="auto"/>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tcPr>
          <w:p w14:paraId="0922E2E1" w14:textId="0BEA1DBC" w:rsidR="00392EE6" w:rsidRPr="00274408" w:rsidRDefault="00392EE6" w:rsidP="00274408">
            <w:pPr>
              <w:tabs>
                <w:tab w:val="clear" w:pos="360"/>
                <w:tab w:val="clear" w:pos="720"/>
                <w:tab w:val="clear" w:pos="1080"/>
                <w:tab w:val="clear" w:pos="1440"/>
              </w:tabs>
              <w:overflowPunct/>
              <w:autoSpaceDE/>
              <w:autoSpaceDN/>
              <w:adjustRightInd/>
              <w:spacing w:before="0"/>
              <w:textAlignment w:val="auto"/>
            </w:pPr>
            <w:r>
              <w:t>1427</w:t>
            </w:r>
          </w:p>
        </w:tc>
        <w:tc>
          <w:tcPr>
            <w:tcW w:w="3965"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tcPr>
          <w:p w14:paraId="1A66836B" w14:textId="156ED84C" w:rsidR="00392EE6" w:rsidRPr="00274408" w:rsidRDefault="00E07C9E" w:rsidP="00274408">
            <w:pPr>
              <w:tabs>
                <w:tab w:val="clear" w:pos="360"/>
                <w:tab w:val="clear" w:pos="720"/>
                <w:tab w:val="clear" w:pos="1080"/>
                <w:tab w:val="clear" w:pos="1440"/>
              </w:tabs>
              <w:overflowPunct/>
              <w:autoSpaceDE/>
              <w:autoSpaceDN/>
              <w:adjustRightInd/>
              <w:spacing w:before="0"/>
              <w:textAlignment w:val="auto"/>
            </w:pPr>
            <w:proofErr w:type="spellStart"/>
            <w:r>
              <w:t>Eqns</w:t>
            </w:r>
            <w:proofErr w:type="spellEnd"/>
            <w:r>
              <w:t xml:space="preserve"> </w:t>
            </w:r>
            <w:r w:rsidR="00392EE6" w:rsidRPr="00392EE6">
              <w:t>(8-1</w:t>
            </w:r>
            <w:r>
              <w:t>8</w:t>
            </w:r>
            <w:r w:rsidR="00392EE6" w:rsidRPr="00392EE6">
              <w:t>5) and (8-1</w:t>
            </w:r>
            <w:r>
              <w:t>8</w:t>
            </w:r>
            <w:r w:rsidR="00392EE6" w:rsidRPr="00392EE6">
              <w:t xml:space="preserve">7) </w:t>
            </w:r>
            <w:r>
              <w:t>could be removed as editorial cleanup.</w:t>
            </w:r>
          </w:p>
        </w:tc>
        <w:tc>
          <w:tcPr>
            <w:tcW w:w="4397" w:type="dxa"/>
            <w:tcBorders>
              <w:top w:val="single" w:sz="6" w:space="0" w:color="DFE2E5"/>
              <w:left w:val="single" w:sz="6" w:space="0" w:color="DFE2E5"/>
              <w:bottom w:val="single" w:sz="6" w:space="0" w:color="DFE2E5"/>
              <w:right w:val="single" w:sz="6" w:space="0" w:color="DFE2E5"/>
            </w:tcBorders>
            <w:shd w:val="clear" w:color="auto" w:fill="FFFFFF"/>
            <w:tcMar>
              <w:top w:w="90" w:type="dxa"/>
              <w:left w:w="195" w:type="dxa"/>
              <w:bottom w:w="90" w:type="dxa"/>
              <w:right w:w="195" w:type="dxa"/>
            </w:tcMar>
            <w:vAlign w:val="center"/>
          </w:tcPr>
          <w:p w14:paraId="69CC63C1" w14:textId="06C48908" w:rsidR="00392EE6" w:rsidRPr="00274408" w:rsidRDefault="00E07C9E" w:rsidP="00274408">
            <w:pPr>
              <w:tabs>
                <w:tab w:val="clear" w:pos="360"/>
                <w:tab w:val="clear" w:pos="720"/>
                <w:tab w:val="clear" w:pos="1080"/>
                <w:tab w:val="clear" w:pos="1440"/>
              </w:tabs>
              <w:overflowPunct/>
              <w:autoSpaceDE/>
              <w:autoSpaceDN/>
              <w:adjustRightInd/>
              <w:spacing w:before="0"/>
              <w:textAlignment w:val="auto"/>
            </w:pPr>
            <w:r>
              <w:t>The ticket is marked as enhancement and note the equation numbers are updated since the ticket was filed.</w:t>
            </w:r>
          </w:p>
        </w:tc>
      </w:tr>
    </w:tbl>
    <w:p w14:paraId="6948F5A5" w14:textId="77777777" w:rsidR="00274408" w:rsidRPr="00274408" w:rsidRDefault="00274408" w:rsidP="00274408"/>
    <w:p w14:paraId="2F04B1DB" w14:textId="77777777" w:rsidR="002300C0" w:rsidRPr="001254EC" w:rsidRDefault="002300C0" w:rsidP="002300C0">
      <w:pPr>
        <w:pStyle w:val="Heading1"/>
        <w:numPr>
          <w:ilvl w:val="0"/>
          <w:numId w:val="14"/>
        </w:numPr>
        <w:spacing w:after="120"/>
      </w:pPr>
      <w:r w:rsidRPr="001254EC">
        <w:t>Recommendations</w:t>
      </w:r>
    </w:p>
    <w:p w14:paraId="6227DC26" w14:textId="77777777" w:rsidR="002300C0" w:rsidRPr="001254EC" w:rsidRDefault="002300C0" w:rsidP="002300C0">
      <w:pPr>
        <w:spacing w:before="120" w:after="120"/>
        <w:jc w:val="both"/>
        <w:rPr>
          <w:lang w:val="en-GB"/>
        </w:rPr>
      </w:pPr>
      <w:r w:rsidRPr="001254EC">
        <w:rPr>
          <w:lang w:val="en-GB"/>
        </w:rPr>
        <w:t xml:space="preserve">The recommendations of the HEVC </w:t>
      </w:r>
      <w:r w:rsidRPr="001254EC">
        <w:rPr>
          <w:szCs w:val="22"/>
          <w:lang w:val="en-GB"/>
        </w:rPr>
        <w:t xml:space="preserve">test model editing and errata reporting </w:t>
      </w:r>
      <w:r w:rsidRPr="001254EC">
        <w:rPr>
          <w:lang w:val="en-GB"/>
        </w:rPr>
        <w:t>AHG are for JCT-VC to:</w:t>
      </w:r>
    </w:p>
    <w:p w14:paraId="2E35837C" w14:textId="77777777" w:rsidR="007F1F8B" w:rsidRPr="00CE44CC" w:rsidRDefault="002300C0" w:rsidP="00DC31B9">
      <w:pPr>
        <w:numPr>
          <w:ilvl w:val="0"/>
          <w:numId w:val="16"/>
        </w:numPr>
        <w:tabs>
          <w:tab w:val="clear" w:pos="360"/>
          <w:tab w:val="clear" w:pos="720"/>
          <w:tab w:val="clear" w:pos="1080"/>
          <w:tab w:val="clear" w:pos="1440"/>
        </w:tabs>
        <w:spacing w:before="0" w:after="120"/>
        <w:jc w:val="both"/>
        <w:rPr>
          <w:lang w:val="en-GB"/>
        </w:rPr>
      </w:pPr>
      <w:r w:rsidRPr="001254EC">
        <w:rPr>
          <w:szCs w:val="22"/>
          <w:lang w:val="en-GB"/>
        </w:rPr>
        <w:t xml:space="preserve">Encourage the use of the </w:t>
      </w:r>
      <w:r w:rsidRPr="001254EC">
        <w:t xml:space="preserve">issue tracker to report issues with the text of both the HEVC specification and the </w:t>
      </w:r>
      <w:r w:rsidR="00CE7B6A">
        <w:t>e</w:t>
      </w:r>
      <w:r w:rsidRPr="001254EC">
        <w:t xml:space="preserve">ncoder </w:t>
      </w:r>
      <w:r w:rsidR="00CE7B6A">
        <w:t>d</w:t>
      </w:r>
      <w:r w:rsidRPr="001254EC">
        <w:t>escription</w:t>
      </w:r>
      <w:r>
        <w:t>.</w:t>
      </w:r>
    </w:p>
    <w:p w14:paraId="5601F22E" w14:textId="77777777" w:rsidR="00D8340E" w:rsidRDefault="00D8340E" w:rsidP="00DC31B9">
      <w:pPr>
        <w:numPr>
          <w:ilvl w:val="0"/>
          <w:numId w:val="16"/>
        </w:numPr>
        <w:tabs>
          <w:tab w:val="clear" w:pos="360"/>
          <w:tab w:val="clear" w:pos="720"/>
          <w:tab w:val="clear" w:pos="1080"/>
          <w:tab w:val="clear" w:pos="1440"/>
        </w:tabs>
        <w:spacing w:before="0" w:after="120"/>
        <w:jc w:val="both"/>
        <w:rPr>
          <w:lang w:val="en-GB"/>
        </w:rPr>
      </w:pPr>
      <w:r>
        <w:rPr>
          <w:lang w:val="en-GB"/>
        </w:rPr>
        <w:t>Confirm resolution</w:t>
      </w:r>
      <w:r w:rsidR="00D249A0">
        <w:rPr>
          <w:lang w:val="en-GB"/>
        </w:rPr>
        <w:t>s</w:t>
      </w:r>
      <w:r>
        <w:rPr>
          <w:lang w:val="en-GB"/>
        </w:rPr>
        <w:t xml:space="preserve"> of open </w:t>
      </w:r>
      <w:r w:rsidR="008C62DA">
        <w:rPr>
          <w:lang w:val="en-GB"/>
        </w:rPr>
        <w:t>tickets</w:t>
      </w:r>
      <w:r w:rsidR="00CE7B6A">
        <w:rPr>
          <w:lang w:val="en-GB"/>
        </w:rPr>
        <w:t xml:space="preserve"> (if any)</w:t>
      </w:r>
      <w:r w:rsidR="008C62DA">
        <w:rPr>
          <w:lang w:val="en-GB"/>
        </w:rPr>
        <w:t xml:space="preserve"> </w:t>
      </w:r>
      <w:r>
        <w:rPr>
          <w:lang w:val="en-GB"/>
        </w:rPr>
        <w:t>in the issue tracker and close them.</w:t>
      </w:r>
    </w:p>
    <w:p w14:paraId="64C9F9DC" w14:textId="233E20BB" w:rsidR="005E0A1E" w:rsidRDefault="005E0A1E" w:rsidP="00DC31B9">
      <w:pPr>
        <w:numPr>
          <w:ilvl w:val="0"/>
          <w:numId w:val="16"/>
        </w:numPr>
        <w:tabs>
          <w:tab w:val="clear" w:pos="360"/>
          <w:tab w:val="clear" w:pos="720"/>
          <w:tab w:val="clear" w:pos="1080"/>
          <w:tab w:val="clear" w:pos="1440"/>
        </w:tabs>
        <w:spacing w:before="0" w:after="120"/>
        <w:jc w:val="both"/>
        <w:rPr>
          <w:lang w:val="en-GB"/>
        </w:rPr>
      </w:pPr>
      <w:r>
        <w:rPr>
          <w:lang w:val="en-GB"/>
        </w:rPr>
        <w:t xml:space="preserve">Review </w:t>
      </w:r>
      <w:r w:rsidR="00AC6D03">
        <w:rPr>
          <w:lang w:val="en-GB"/>
        </w:rPr>
        <w:t xml:space="preserve">the above-identified </w:t>
      </w:r>
      <w:r>
        <w:rPr>
          <w:lang w:val="en-GB"/>
        </w:rPr>
        <w:t>input document.</w:t>
      </w:r>
    </w:p>
    <w:sectPr w:rsidR="005E0A1E"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F926C0" w14:textId="77777777" w:rsidR="00D76579" w:rsidRDefault="00D76579">
      <w:r>
        <w:separator/>
      </w:r>
    </w:p>
  </w:endnote>
  <w:endnote w:type="continuationSeparator" w:id="0">
    <w:p w14:paraId="2C3688D4" w14:textId="77777777" w:rsidR="00D76579" w:rsidRDefault="00D76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166DE" w14:textId="15F435C9" w:rsidR="00DC6E08" w:rsidRDefault="00DC6E08"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1733A9">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C6FF4">
      <w:rPr>
        <w:rStyle w:val="PageNumber"/>
        <w:noProof/>
      </w:rPr>
      <w:t>2020-01-10</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E1829" w14:textId="77777777" w:rsidR="00D76579" w:rsidRDefault="00D76579">
      <w:r>
        <w:separator/>
      </w:r>
    </w:p>
  </w:footnote>
  <w:footnote w:type="continuationSeparator" w:id="0">
    <w:p w14:paraId="3AD9F48B" w14:textId="77777777" w:rsidR="00D76579" w:rsidRDefault="00D765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993888"/>
    <w:multiLevelType w:val="hybridMultilevel"/>
    <w:tmpl w:val="F962E936"/>
    <w:lvl w:ilvl="0" w:tplc="FD1CE20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4268F"/>
    <w:multiLevelType w:val="hybridMultilevel"/>
    <w:tmpl w:val="0A2216DC"/>
    <w:lvl w:ilvl="0" w:tplc="5ECAF6C8">
      <w:numFmt w:val="bullet"/>
      <w:lvlText w:val="-"/>
      <w:lvlJc w:val="left"/>
      <w:pPr>
        <w:ind w:left="720" w:hanging="360"/>
      </w:pPr>
      <w:rPr>
        <w:rFonts w:ascii="Calibri" w:eastAsia="DengXian"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5" w15:restartNumberingAfterBreak="0">
    <w:nsid w:val="11617047"/>
    <w:multiLevelType w:val="hybridMultilevel"/>
    <w:tmpl w:val="CE7ADE0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70E2DFA"/>
    <w:multiLevelType w:val="hybridMultilevel"/>
    <w:tmpl w:val="188C05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8150102"/>
    <w:multiLevelType w:val="hybridMultilevel"/>
    <w:tmpl w:val="C9D68D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5AB413E"/>
    <w:multiLevelType w:val="hybridMultilevel"/>
    <w:tmpl w:val="53D6D4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6292F69"/>
    <w:multiLevelType w:val="hybridMultilevel"/>
    <w:tmpl w:val="3D624080"/>
    <w:lvl w:ilvl="0" w:tplc="8A0467D4">
      <w:start w:val="1"/>
      <w:numFmt w:val="decimal"/>
      <w:lvlText w:val="[%1]"/>
      <w:lvlJc w:val="left"/>
      <w:pPr>
        <w:ind w:left="502" w:hanging="360"/>
      </w:pPr>
    </w:lvl>
    <w:lvl w:ilvl="1" w:tplc="00190407">
      <w:start w:val="1"/>
      <w:numFmt w:val="lowerLetter"/>
      <w:lvlText w:val="%2."/>
      <w:lvlJc w:val="left"/>
      <w:pPr>
        <w:ind w:left="1080" w:hanging="360"/>
      </w:pPr>
    </w:lvl>
    <w:lvl w:ilvl="2" w:tplc="001B0407">
      <w:start w:val="1"/>
      <w:numFmt w:val="lowerRoman"/>
      <w:lvlText w:val="%3."/>
      <w:lvlJc w:val="right"/>
      <w:pPr>
        <w:ind w:left="1800" w:hanging="180"/>
      </w:pPr>
    </w:lvl>
    <w:lvl w:ilvl="3" w:tplc="000F0407">
      <w:start w:val="1"/>
      <w:numFmt w:val="decimal"/>
      <w:lvlText w:val="%4."/>
      <w:lvlJc w:val="left"/>
      <w:pPr>
        <w:ind w:left="2520" w:hanging="360"/>
      </w:pPr>
    </w:lvl>
    <w:lvl w:ilvl="4" w:tplc="00190407">
      <w:start w:val="1"/>
      <w:numFmt w:val="lowerLetter"/>
      <w:lvlText w:val="%5."/>
      <w:lvlJc w:val="left"/>
      <w:pPr>
        <w:ind w:left="3240" w:hanging="360"/>
      </w:pPr>
    </w:lvl>
    <w:lvl w:ilvl="5" w:tplc="001B0407">
      <w:start w:val="1"/>
      <w:numFmt w:val="lowerRoman"/>
      <w:lvlText w:val="%6."/>
      <w:lvlJc w:val="right"/>
      <w:pPr>
        <w:ind w:left="3960" w:hanging="180"/>
      </w:pPr>
    </w:lvl>
    <w:lvl w:ilvl="6" w:tplc="000F0407">
      <w:start w:val="1"/>
      <w:numFmt w:val="decimal"/>
      <w:lvlText w:val="%7."/>
      <w:lvlJc w:val="left"/>
      <w:pPr>
        <w:ind w:left="4680" w:hanging="360"/>
      </w:pPr>
    </w:lvl>
    <w:lvl w:ilvl="7" w:tplc="00190407">
      <w:start w:val="1"/>
      <w:numFmt w:val="lowerLetter"/>
      <w:lvlText w:val="%8."/>
      <w:lvlJc w:val="left"/>
      <w:pPr>
        <w:ind w:left="5400" w:hanging="360"/>
      </w:pPr>
    </w:lvl>
    <w:lvl w:ilvl="8" w:tplc="001B0407">
      <w:start w:val="1"/>
      <w:numFmt w:val="lowerRoman"/>
      <w:lvlText w:val="%9."/>
      <w:lvlJc w:val="right"/>
      <w:pPr>
        <w:ind w:left="6120" w:hanging="180"/>
      </w:pPr>
    </w:lvl>
  </w:abstractNum>
  <w:abstractNum w:abstractNumId="12" w15:restartNumberingAfterBreak="0">
    <w:nsid w:val="2E6F2323"/>
    <w:multiLevelType w:val="hybridMultilevel"/>
    <w:tmpl w:val="3A482A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68D6EAF"/>
    <w:multiLevelType w:val="hybridMultilevel"/>
    <w:tmpl w:val="4134F052"/>
    <w:lvl w:ilvl="0" w:tplc="2242B668">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F832EB"/>
    <w:multiLevelType w:val="hybridMultilevel"/>
    <w:tmpl w:val="53B81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78254F3"/>
    <w:multiLevelType w:val="hybridMultilevel"/>
    <w:tmpl w:val="4956FBD2"/>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C6227A"/>
    <w:multiLevelType w:val="hybridMultilevel"/>
    <w:tmpl w:val="4D6470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1A1901"/>
    <w:multiLevelType w:val="hybridMultilevel"/>
    <w:tmpl w:val="D3FAA1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B0A341C"/>
    <w:multiLevelType w:val="hybridMultilevel"/>
    <w:tmpl w:val="99F0F4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5"/>
  </w:num>
  <w:num w:numId="3">
    <w:abstractNumId w:val="18"/>
  </w:num>
  <w:num w:numId="4">
    <w:abstractNumId w:val="16"/>
  </w:num>
  <w:num w:numId="5">
    <w:abstractNumId w:val="17"/>
  </w:num>
  <w:num w:numId="6">
    <w:abstractNumId w:val="9"/>
  </w:num>
  <w:num w:numId="7">
    <w:abstractNumId w:val="14"/>
  </w:num>
  <w:num w:numId="8">
    <w:abstractNumId w:val="9"/>
  </w:num>
  <w:num w:numId="9">
    <w:abstractNumId w:val="1"/>
  </w:num>
  <w:num w:numId="10">
    <w:abstractNumId w:val="8"/>
  </w:num>
  <w:num w:numId="11">
    <w:abstractNumId w:val="3"/>
  </w:num>
  <w:num w:numId="12">
    <w:abstractNumId w:val="10"/>
  </w:num>
  <w:num w:numId="13">
    <w:abstractNumId w:val="6"/>
  </w:num>
  <w:num w:numId="14">
    <w:abstractNumId w:val="5"/>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12"/>
  </w:num>
  <w:num w:numId="18">
    <w:abstractNumId w:val="13"/>
    <w:lvlOverride w:ilvl="0">
      <w:startOverride w:val="1"/>
    </w:lvlOverride>
    <w:lvlOverride w:ilvl="1"/>
    <w:lvlOverride w:ilvl="2"/>
    <w:lvlOverride w:ilvl="3"/>
    <w:lvlOverride w:ilvl="4"/>
    <w:lvlOverride w:ilvl="5"/>
    <w:lvlOverride w:ilvl="6"/>
    <w:lvlOverride w:ilvl="7"/>
    <w:lvlOverride w:ilvl="8"/>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15"/>
  </w:num>
  <w:num w:numId="22">
    <w:abstractNumId w:val="24"/>
  </w:num>
  <w:num w:numId="23">
    <w:abstractNumId w:val="20"/>
  </w:num>
  <w:num w:numId="24">
    <w:abstractNumId w:val="23"/>
  </w:num>
  <w:num w:numId="25">
    <w:abstractNumId w:val="22"/>
  </w:num>
  <w:num w:numId="26">
    <w:abstractNumId w:val="4"/>
  </w:num>
  <w:num w:numId="27">
    <w:abstractNumId w:val="9"/>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30FF"/>
    <w:rsid w:val="00014FCC"/>
    <w:rsid w:val="0002501B"/>
    <w:rsid w:val="00025E9C"/>
    <w:rsid w:val="00027162"/>
    <w:rsid w:val="000308A3"/>
    <w:rsid w:val="000458BC"/>
    <w:rsid w:val="00045C41"/>
    <w:rsid w:val="00046C03"/>
    <w:rsid w:val="00065039"/>
    <w:rsid w:val="0007354F"/>
    <w:rsid w:val="0007614F"/>
    <w:rsid w:val="0008597D"/>
    <w:rsid w:val="0009142D"/>
    <w:rsid w:val="000B0C0F"/>
    <w:rsid w:val="000B1C6B"/>
    <w:rsid w:val="000B4FF9"/>
    <w:rsid w:val="000C076E"/>
    <w:rsid w:val="000C09AC"/>
    <w:rsid w:val="000E00F3"/>
    <w:rsid w:val="000E19E7"/>
    <w:rsid w:val="000E6DF1"/>
    <w:rsid w:val="000F158C"/>
    <w:rsid w:val="000F1758"/>
    <w:rsid w:val="000F46EA"/>
    <w:rsid w:val="00102F3D"/>
    <w:rsid w:val="00110BE8"/>
    <w:rsid w:val="00111A15"/>
    <w:rsid w:val="00124E38"/>
    <w:rsid w:val="0012580B"/>
    <w:rsid w:val="001310F6"/>
    <w:rsid w:val="00131F90"/>
    <w:rsid w:val="00132C45"/>
    <w:rsid w:val="00134DFE"/>
    <w:rsid w:val="0013526E"/>
    <w:rsid w:val="00144C44"/>
    <w:rsid w:val="00146152"/>
    <w:rsid w:val="00150BD8"/>
    <w:rsid w:val="0015102B"/>
    <w:rsid w:val="00154288"/>
    <w:rsid w:val="00160652"/>
    <w:rsid w:val="00165D51"/>
    <w:rsid w:val="00166D2E"/>
    <w:rsid w:val="00171371"/>
    <w:rsid w:val="001733A9"/>
    <w:rsid w:val="00175A24"/>
    <w:rsid w:val="00176EEF"/>
    <w:rsid w:val="0018104A"/>
    <w:rsid w:val="00187E58"/>
    <w:rsid w:val="00191506"/>
    <w:rsid w:val="001942B3"/>
    <w:rsid w:val="001A297E"/>
    <w:rsid w:val="001A368E"/>
    <w:rsid w:val="001A7329"/>
    <w:rsid w:val="001A792F"/>
    <w:rsid w:val="001B4E28"/>
    <w:rsid w:val="001C3525"/>
    <w:rsid w:val="001C3AFB"/>
    <w:rsid w:val="001C439B"/>
    <w:rsid w:val="001C519B"/>
    <w:rsid w:val="001D1BD2"/>
    <w:rsid w:val="001D282B"/>
    <w:rsid w:val="001E02BE"/>
    <w:rsid w:val="001E3B37"/>
    <w:rsid w:val="001E7948"/>
    <w:rsid w:val="001F2594"/>
    <w:rsid w:val="002055A6"/>
    <w:rsid w:val="00206460"/>
    <w:rsid w:val="002069B4"/>
    <w:rsid w:val="00207A94"/>
    <w:rsid w:val="0021001C"/>
    <w:rsid w:val="00215DFC"/>
    <w:rsid w:val="002212DF"/>
    <w:rsid w:val="00222CD4"/>
    <w:rsid w:val="002247F6"/>
    <w:rsid w:val="00225016"/>
    <w:rsid w:val="002264A6"/>
    <w:rsid w:val="0022786A"/>
    <w:rsid w:val="00227BA7"/>
    <w:rsid w:val="002300C0"/>
    <w:rsid w:val="0023011C"/>
    <w:rsid w:val="002375C1"/>
    <w:rsid w:val="0024345D"/>
    <w:rsid w:val="002548D7"/>
    <w:rsid w:val="00260A6A"/>
    <w:rsid w:val="00263398"/>
    <w:rsid w:val="00266F06"/>
    <w:rsid w:val="00274408"/>
    <w:rsid w:val="00275BCF"/>
    <w:rsid w:val="00291E36"/>
    <w:rsid w:val="00292257"/>
    <w:rsid w:val="00292429"/>
    <w:rsid w:val="00293835"/>
    <w:rsid w:val="00296331"/>
    <w:rsid w:val="002A54E0"/>
    <w:rsid w:val="002B1595"/>
    <w:rsid w:val="002B191D"/>
    <w:rsid w:val="002D0AF6"/>
    <w:rsid w:val="002F164D"/>
    <w:rsid w:val="002F2D3E"/>
    <w:rsid w:val="00306206"/>
    <w:rsid w:val="00317D85"/>
    <w:rsid w:val="00327C56"/>
    <w:rsid w:val="003315A1"/>
    <w:rsid w:val="0033561E"/>
    <w:rsid w:val="003373EC"/>
    <w:rsid w:val="00342FF4"/>
    <w:rsid w:val="003441CC"/>
    <w:rsid w:val="00344C4C"/>
    <w:rsid w:val="00346148"/>
    <w:rsid w:val="00350962"/>
    <w:rsid w:val="0035193E"/>
    <w:rsid w:val="00352C53"/>
    <w:rsid w:val="0036094E"/>
    <w:rsid w:val="00361AEE"/>
    <w:rsid w:val="003669EA"/>
    <w:rsid w:val="003706CC"/>
    <w:rsid w:val="003713A2"/>
    <w:rsid w:val="00377710"/>
    <w:rsid w:val="00391DE1"/>
    <w:rsid w:val="00392EE6"/>
    <w:rsid w:val="003A2D8E"/>
    <w:rsid w:val="003A7CE6"/>
    <w:rsid w:val="003C20E4"/>
    <w:rsid w:val="003D6342"/>
    <w:rsid w:val="003E20EF"/>
    <w:rsid w:val="003E6F90"/>
    <w:rsid w:val="003F5D0F"/>
    <w:rsid w:val="00401F67"/>
    <w:rsid w:val="00407888"/>
    <w:rsid w:val="004105CF"/>
    <w:rsid w:val="00414101"/>
    <w:rsid w:val="004234F0"/>
    <w:rsid w:val="00433DDB"/>
    <w:rsid w:val="00437619"/>
    <w:rsid w:val="0046500E"/>
    <w:rsid w:val="00465A1E"/>
    <w:rsid w:val="00477478"/>
    <w:rsid w:val="00481A9C"/>
    <w:rsid w:val="004870D3"/>
    <w:rsid w:val="00487CF9"/>
    <w:rsid w:val="00494091"/>
    <w:rsid w:val="004A2A63"/>
    <w:rsid w:val="004B210C"/>
    <w:rsid w:val="004C4F6B"/>
    <w:rsid w:val="004C5C26"/>
    <w:rsid w:val="004C7551"/>
    <w:rsid w:val="004D3825"/>
    <w:rsid w:val="004D405F"/>
    <w:rsid w:val="004D78BB"/>
    <w:rsid w:val="004E07D2"/>
    <w:rsid w:val="004E1B8A"/>
    <w:rsid w:val="004E4F4F"/>
    <w:rsid w:val="004E5D5A"/>
    <w:rsid w:val="004E6789"/>
    <w:rsid w:val="004F61E3"/>
    <w:rsid w:val="004F7DAA"/>
    <w:rsid w:val="0050177D"/>
    <w:rsid w:val="00502E10"/>
    <w:rsid w:val="005063E5"/>
    <w:rsid w:val="0051015C"/>
    <w:rsid w:val="00511064"/>
    <w:rsid w:val="00512F69"/>
    <w:rsid w:val="005167D8"/>
    <w:rsid w:val="00516CF1"/>
    <w:rsid w:val="00531AE9"/>
    <w:rsid w:val="0054235F"/>
    <w:rsid w:val="00550A66"/>
    <w:rsid w:val="005640EB"/>
    <w:rsid w:val="005663AC"/>
    <w:rsid w:val="00567EC7"/>
    <w:rsid w:val="00570013"/>
    <w:rsid w:val="00571523"/>
    <w:rsid w:val="005719D3"/>
    <w:rsid w:val="005801A2"/>
    <w:rsid w:val="005850C1"/>
    <w:rsid w:val="00585970"/>
    <w:rsid w:val="0058791C"/>
    <w:rsid w:val="005952A5"/>
    <w:rsid w:val="00596F52"/>
    <w:rsid w:val="005A33A1"/>
    <w:rsid w:val="005B217D"/>
    <w:rsid w:val="005B782F"/>
    <w:rsid w:val="005C385F"/>
    <w:rsid w:val="005E0A1E"/>
    <w:rsid w:val="005E173C"/>
    <w:rsid w:val="005E1AC6"/>
    <w:rsid w:val="005F6F1B"/>
    <w:rsid w:val="006116DC"/>
    <w:rsid w:val="00612D22"/>
    <w:rsid w:val="006249E0"/>
    <w:rsid w:val="00624B33"/>
    <w:rsid w:val="0062531B"/>
    <w:rsid w:val="0063041A"/>
    <w:rsid w:val="00630AA2"/>
    <w:rsid w:val="00632248"/>
    <w:rsid w:val="00646707"/>
    <w:rsid w:val="00647DF2"/>
    <w:rsid w:val="00655ED8"/>
    <w:rsid w:val="00657F7E"/>
    <w:rsid w:val="00660416"/>
    <w:rsid w:val="00662E58"/>
    <w:rsid w:val="00664DCF"/>
    <w:rsid w:val="006672AA"/>
    <w:rsid w:val="00670CD0"/>
    <w:rsid w:val="00681F0B"/>
    <w:rsid w:val="006867D8"/>
    <w:rsid w:val="006921B9"/>
    <w:rsid w:val="00696E2B"/>
    <w:rsid w:val="006A0D7B"/>
    <w:rsid w:val="006B3D46"/>
    <w:rsid w:val="006C5D39"/>
    <w:rsid w:val="006D6D9B"/>
    <w:rsid w:val="006E2810"/>
    <w:rsid w:val="006E398C"/>
    <w:rsid w:val="006E5036"/>
    <w:rsid w:val="006E5417"/>
    <w:rsid w:val="007023DE"/>
    <w:rsid w:val="00712F60"/>
    <w:rsid w:val="007166DA"/>
    <w:rsid w:val="00720E3B"/>
    <w:rsid w:val="00722B6A"/>
    <w:rsid w:val="00731EB3"/>
    <w:rsid w:val="00733081"/>
    <w:rsid w:val="0074393F"/>
    <w:rsid w:val="00745C20"/>
    <w:rsid w:val="00745F6B"/>
    <w:rsid w:val="00746509"/>
    <w:rsid w:val="0075329B"/>
    <w:rsid w:val="00755276"/>
    <w:rsid w:val="0075585E"/>
    <w:rsid w:val="00756F0E"/>
    <w:rsid w:val="00766916"/>
    <w:rsid w:val="00770571"/>
    <w:rsid w:val="007768FF"/>
    <w:rsid w:val="007824D3"/>
    <w:rsid w:val="00796EE3"/>
    <w:rsid w:val="007975C8"/>
    <w:rsid w:val="007A7D29"/>
    <w:rsid w:val="007B38B4"/>
    <w:rsid w:val="007B4712"/>
    <w:rsid w:val="007B4AB8"/>
    <w:rsid w:val="007C65FF"/>
    <w:rsid w:val="007C6FF4"/>
    <w:rsid w:val="007D1181"/>
    <w:rsid w:val="007D774C"/>
    <w:rsid w:val="007E01A3"/>
    <w:rsid w:val="007F0CFD"/>
    <w:rsid w:val="007F1F8B"/>
    <w:rsid w:val="007F4E2E"/>
    <w:rsid w:val="007F67A1"/>
    <w:rsid w:val="00801D72"/>
    <w:rsid w:val="00811C05"/>
    <w:rsid w:val="008200B3"/>
    <w:rsid w:val="008206C8"/>
    <w:rsid w:val="00845A34"/>
    <w:rsid w:val="0086180B"/>
    <w:rsid w:val="0086387C"/>
    <w:rsid w:val="008662B8"/>
    <w:rsid w:val="00872052"/>
    <w:rsid w:val="0087404D"/>
    <w:rsid w:val="008743D9"/>
    <w:rsid w:val="00874A6C"/>
    <w:rsid w:val="00874B0C"/>
    <w:rsid w:val="00875510"/>
    <w:rsid w:val="00876C65"/>
    <w:rsid w:val="008809E5"/>
    <w:rsid w:val="008A4B4C"/>
    <w:rsid w:val="008A5C11"/>
    <w:rsid w:val="008C239F"/>
    <w:rsid w:val="008C62DA"/>
    <w:rsid w:val="008D6BE8"/>
    <w:rsid w:val="008E480C"/>
    <w:rsid w:val="008F2BD9"/>
    <w:rsid w:val="008F564A"/>
    <w:rsid w:val="00902B91"/>
    <w:rsid w:val="00904C7D"/>
    <w:rsid w:val="00907757"/>
    <w:rsid w:val="00920886"/>
    <w:rsid w:val="009212B0"/>
    <w:rsid w:val="00921FA1"/>
    <w:rsid w:val="009234A5"/>
    <w:rsid w:val="00933453"/>
    <w:rsid w:val="009336F7"/>
    <w:rsid w:val="0093636C"/>
    <w:rsid w:val="009371EE"/>
    <w:rsid w:val="009374A7"/>
    <w:rsid w:val="00955F6D"/>
    <w:rsid w:val="00957733"/>
    <w:rsid w:val="00964A69"/>
    <w:rsid w:val="009673CF"/>
    <w:rsid w:val="00975472"/>
    <w:rsid w:val="0098551D"/>
    <w:rsid w:val="009901F7"/>
    <w:rsid w:val="0099518F"/>
    <w:rsid w:val="009A383B"/>
    <w:rsid w:val="009A523D"/>
    <w:rsid w:val="009B02A1"/>
    <w:rsid w:val="009B4D0A"/>
    <w:rsid w:val="009D16F4"/>
    <w:rsid w:val="009D457B"/>
    <w:rsid w:val="009D4BEE"/>
    <w:rsid w:val="009E2EB5"/>
    <w:rsid w:val="009E7577"/>
    <w:rsid w:val="009F496B"/>
    <w:rsid w:val="009F553C"/>
    <w:rsid w:val="009F64F9"/>
    <w:rsid w:val="00A01439"/>
    <w:rsid w:val="00A02E61"/>
    <w:rsid w:val="00A05CFF"/>
    <w:rsid w:val="00A05D18"/>
    <w:rsid w:val="00A0743C"/>
    <w:rsid w:val="00A13048"/>
    <w:rsid w:val="00A46843"/>
    <w:rsid w:val="00A56B97"/>
    <w:rsid w:val="00A6093D"/>
    <w:rsid w:val="00A644A0"/>
    <w:rsid w:val="00A767DC"/>
    <w:rsid w:val="00A76A6D"/>
    <w:rsid w:val="00A83253"/>
    <w:rsid w:val="00A92B2C"/>
    <w:rsid w:val="00A92F27"/>
    <w:rsid w:val="00A94DDF"/>
    <w:rsid w:val="00AA6E84"/>
    <w:rsid w:val="00AC6D03"/>
    <w:rsid w:val="00AD05A8"/>
    <w:rsid w:val="00AE341B"/>
    <w:rsid w:val="00AE6036"/>
    <w:rsid w:val="00AE6CFC"/>
    <w:rsid w:val="00B07CA7"/>
    <w:rsid w:val="00B1279A"/>
    <w:rsid w:val="00B13C18"/>
    <w:rsid w:val="00B4060E"/>
    <w:rsid w:val="00B4194A"/>
    <w:rsid w:val="00B5222E"/>
    <w:rsid w:val="00B53179"/>
    <w:rsid w:val="00B600CD"/>
    <w:rsid w:val="00B61C96"/>
    <w:rsid w:val="00B6783C"/>
    <w:rsid w:val="00B73A2A"/>
    <w:rsid w:val="00B82A30"/>
    <w:rsid w:val="00B93C7D"/>
    <w:rsid w:val="00B94B06"/>
    <w:rsid w:val="00B94C28"/>
    <w:rsid w:val="00BA573F"/>
    <w:rsid w:val="00BB5A70"/>
    <w:rsid w:val="00BC10BA"/>
    <w:rsid w:val="00BC5AFD"/>
    <w:rsid w:val="00BD5566"/>
    <w:rsid w:val="00BF30AD"/>
    <w:rsid w:val="00BF5137"/>
    <w:rsid w:val="00C03549"/>
    <w:rsid w:val="00C04F43"/>
    <w:rsid w:val="00C0609D"/>
    <w:rsid w:val="00C115AB"/>
    <w:rsid w:val="00C135F0"/>
    <w:rsid w:val="00C26CCB"/>
    <w:rsid w:val="00C30249"/>
    <w:rsid w:val="00C3586B"/>
    <w:rsid w:val="00C3714F"/>
    <w:rsid w:val="00C3723B"/>
    <w:rsid w:val="00C37759"/>
    <w:rsid w:val="00C4070F"/>
    <w:rsid w:val="00C42466"/>
    <w:rsid w:val="00C5090E"/>
    <w:rsid w:val="00C600F5"/>
    <w:rsid w:val="00C606C9"/>
    <w:rsid w:val="00C64193"/>
    <w:rsid w:val="00C80288"/>
    <w:rsid w:val="00C82D15"/>
    <w:rsid w:val="00C84003"/>
    <w:rsid w:val="00C90650"/>
    <w:rsid w:val="00C932AE"/>
    <w:rsid w:val="00C97D78"/>
    <w:rsid w:val="00CA168D"/>
    <w:rsid w:val="00CA2CD0"/>
    <w:rsid w:val="00CC2AAE"/>
    <w:rsid w:val="00CC37BF"/>
    <w:rsid w:val="00CC5A42"/>
    <w:rsid w:val="00CC5F09"/>
    <w:rsid w:val="00CD0EAB"/>
    <w:rsid w:val="00CE33F2"/>
    <w:rsid w:val="00CE44CC"/>
    <w:rsid w:val="00CE5E02"/>
    <w:rsid w:val="00CE7B6A"/>
    <w:rsid w:val="00CF147E"/>
    <w:rsid w:val="00CF1E2C"/>
    <w:rsid w:val="00CF34DB"/>
    <w:rsid w:val="00CF558F"/>
    <w:rsid w:val="00D010C0"/>
    <w:rsid w:val="00D073E2"/>
    <w:rsid w:val="00D249A0"/>
    <w:rsid w:val="00D36A22"/>
    <w:rsid w:val="00D4121D"/>
    <w:rsid w:val="00D446EC"/>
    <w:rsid w:val="00D51BF0"/>
    <w:rsid w:val="00D55942"/>
    <w:rsid w:val="00D6230D"/>
    <w:rsid w:val="00D76579"/>
    <w:rsid w:val="00D76999"/>
    <w:rsid w:val="00D807BF"/>
    <w:rsid w:val="00D80C86"/>
    <w:rsid w:val="00D82FCC"/>
    <w:rsid w:val="00D8340E"/>
    <w:rsid w:val="00D912B2"/>
    <w:rsid w:val="00DA17FC"/>
    <w:rsid w:val="00DA7887"/>
    <w:rsid w:val="00DB2C26"/>
    <w:rsid w:val="00DB41B1"/>
    <w:rsid w:val="00DC31B9"/>
    <w:rsid w:val="00DC6E08"/>
    <w:rsid w:val="00DD0051"/>
    <w:rsid w:val="00DD02F4"/>
    <w:rsid w:val="00DE6B43"/>
    <w:rsid w:val="00DF51E3"/>
    <w:rsid w:val="00E043C4"/>
    <w:rsid w:val="00E07C9E"/>
    <w:rsid w:val="00E11923"/>
    <w:rsid w:val="00E15ADF"/>
    <w:rsid w:val="00E1650D"/>
    <w:rsid w:val="00E262D4"/>
    <w:rsid w:val="00E326EB"/>
    <w:rsid w:val="00E36250"/>
    <w:rsid w:val="00E3698A"/>
    <w:rsid w:val="00E413C2"/>
    <w:rsid w:val="00E53DEC"/>
    <w:rsid w:val="00E54511"/>
    <w:rsid w:val="00E61DAC"/>
    <w:rsid w:val="00E72B80"/>
    <w:rsid w:val="00E75FE3"/>
    <w:rsid w:val="00E812A0"/>
    <w:rsid w:val="00E837FF"/>
    <w:rsid w:val="00E86C4C"/>
    <w:rsid w:val="00E907A3"/>
    <w:rsid w:val="00EA5AE0"/>
    <w:rsid w:val="00EB27D5"/>
    <w:rsid w:val="00EB38A7"/>
    <w:rsid w:val="00EB7AB1"/>
    <w:rsid w:val="00ED2CB6"/>
    <w:rsid w:val="00ED427D"/>
    <w:rsid w:val="00EE7CD8"/>
    <w:rsid w:val="00EF48CC"/>
    <w:rsid w:val="00EF73BA"/>
    <w:rsid w:val="00F00801"/>
    <w:rsid w:val="00F049E4"/>
    <w:rsid w:val="00F33807"/>
    <w:rsid w:val="00F47321"/>
    <w:rsid w:val="00F66D70"/>
    <w:rsid w:val="00F711F1"/>
    <w:rsid w:val="00F7228B"/>
    <w:rsid w:val="00F73032"/>
    <w:rsid w:val="00F848FC"/>
    <w:rsid w:val="00F8675E"/>
    <w:rsid w:val="00F9084A"/>
    <w:rsid w:val="00F9282A"/>
    <w:rsid w:val="00F9640F"/>
    <w:rsid w:val="00F96BAD"/>
    <w:rsid w:val="00FA139D"/>
    <w:rsid w:val="00FA3163"/>
    <w:rsid w:val="00FA43DD"/>
    <w:rsid w:val="00FB0E84"/>
    <w:rsid w:val="00FC6296"/>
    <w:rsid w:val="00FD01C2"/>
    <w:rsid w:val="00FD41B6"/>
    <w:rsid w:val="00FE595C"/>
    <w:rsid w:val="00FE601E"/>
    <w:rsid w:val="00FF0CE3"/>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6C3EC3"/>
  <w15:chartTrackingRefBased/>
  <w15:docId w15:val="{A8492935-1850-485D-A0E8-46655D95B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PlainText">
    <w:name w:val="Plain Text"/>
    <w:basedOn w:val="Normal"/>
    <w:link w:val="PlainTextChar"/>
    <w:uiPriority w:val="99"/>
    <w:unhideWhenUsed/>
    <w:rsid w:val="00964A69"/>
    <w:pPr>
      <w:tabs>
        <w:tab w:val="clear" w:pos="360"/>
        <w:tab w:val="clear" w:pos="720"/>
        <w:tab w:val="clear" w:pos="1080"/>
        <w:tab w:val="clear" w:pos="1440"/>
      </w:tabs>
      <w:overflowPunct/>
      <w:autoSpaceDE/>
      <w:autoSpaceDN/>
      <w:adjustRightInd/>
      <w:spacing w:before="0"/>
      <w:textAlignment w:val="auto"/>
    </w:pPr>
    <w:rPr>
      <w:rFonts w:ascii="Calibri" w:eastAsia="Calibri" w:hAnsi="Calibri"/>
      <w:szCs w:val="21"/>
      <w:lang w:val="en-GB"/>
    </w:rPr>
  </w:style>
  <w:style w:type="character" w:customStyle="1" w:styleId="PlainTextChar">
    <w:name w:val="Plain Text Char"/>
    <w:link w:val="PlainText"/>
    <w:uiPriority w:val="99"/>
    <w:rsid w:val="00964A69"/>
    <w:rPr>
      <w:rFonts w:ascii="Calibri" w:eastAsia="Calibri" w:hAnsi="Calibri"/>
      <w:sz w:val="22"/>
      <w:szCs w:val="21"/>
      <w:lang w:val="en-GB" w:eastAsia="en-US"/>
    </w:rPr>
  </w:style>
  <w:style w:type="paragraph" w:customStyle="1" w:styleId="ColorfulList-Accent11">
    <w:name w:val="Colorful List - Accent 11"/>
    <w:basedOn w:val="Normal"/>
    <w:uiPriority w:val="34"/>
    <w:qFormat/>
    <w:rsid w:val="0050177D"/>
    <w:pPr>
      <w:tabs>
        <w:tab w:val="clear" w:pos="360"/>
        <w:tab w:val="clear" w:pos="720"/>
        <w:tab w:val="clear" w:pos="1080"/>
        <w:tab w:val="clear" w:pos="1440"/>
      </w:tabs>
      <w:overflowPunct/>
      <w:autoSpaceDE/>
      <w:autoSpaceDN/>
      <w:adjustRightInd/>
      <w:spacing w:before="0"/>
      <w:ind w:left="720"/>
      <w:textAlignment w:val="auto"/>
    </w:pPr>
    <w:rPr>
      <w:rFonts w:ascii="Calibri" w:eastAsia="SimSun" w:hAnsi="Calibri"/>
      <w:szCs w:val="22"/>
      <w:lang w:eastAsia="zh-CN"/>
    </w:rPr>
  </w:style>
  <w:style w:type="character" w:customStyle="1" w:styleId="3NChar">
    <w:name w:val="3N Char"/>
    <w:link w:val="3N"/>
    <w:locked/>
    <w:rsid w:val="0050177D"/>
    <w:rPr>
      <w:lang w:eastAsia="en-US"/>
    </w:rPr>
  </w:style>
  <w:style w:type="paragraph" w:customStyle="1" w:styleId="3N">
    <w:name w:val="3N"/>
    <w:basedOn w:val="Normal"/>
    <w:link w:val="3NChar"/>
    <w:rsid w:val="0050177D"/>
    <w:pPr>
      <w:tabs>
        <w:tab w:val="clear" w:pos="360"/>
        <w:tab w:val="clear" w:pos="720"/>
        <w:tab w:val="clear" w:pos="1080"/>
        <w:tab w:val="clear" w:pos="1440"/>
      </w:tabs>
      <w:adjustRightInd/>
      <w:jc w:val="both"/>
      <w:textAlignment w:val="auto"/>
    </w:pPr>
    <w:rPr>
      <w:sz w:val="20"/>
    </w:rPr>
  </w:style>
  <w:style w:type="paragraph" w:customStyle="1" w:styleId="Equationsmallertabs">
    <w:name w:val="Equation smaller tabs"/>
    <w:basedOn w:val="Normal"/>
    <w:qFormat/>
    <w:rsid w:val="00CC5F09"/>
    <w:pPr>
      <w:tabs>
        <w:tab w:val="clear" w:pos="360"/>
        <w:tab w:val="clear" w:pos="720"/>
        <w:tab w:val="clear" w:pos="1080"/>
        <w:tab w:val="clear" w:pos="1440"/>
        <w:tab w:val="left" w:pos="794"/>
        <w:tab w:val="left" w:pos="1170"/>
        <w:tab w:val="left" w:pos="1588"/>
        <w:tab w:val="left" w:pos="1890"/>
        <w:tab w:val="left" w:pos="2160"/>
        <w:tab w:val="left" w:pos="2430"/>
        <w:tab w:val="center" w:pos="4849"/>
        <w:tab w:val="right" w:pos="9696"/>
      </w:tabs>
      <w:ind w:left="794"/>
    </w:pPr>
    <w:rPr>
      <w:rFonts w:eastAsia="Malgun Gothic"/>
      <w:sz w:val="20"/>
      <w:szCs w:val="22"/>
      <w:lang w:val="en-CA" w:eastAsia="ko-KR"/>
    </w:rPr>
  </w:style>
  <w:style w:type="paragraph" w:styleId="Revision">
    <w:name w:val="Revision"/>
    <w:hidden/>
    <w:uiPriority w:val="71"/>
    <w:rsid w:val="00696E2B"/>
    <w:rPr>
      <w:sz w:val="22"/>
      <w:lang w:val="en-US" w:eastAsia="en-US"/>
    </w:rPr>
  </w:style>
  <w:style w:type="paragraph" w:customStyle="1" w:styleId="Equation">
    <w:name w:val="Equation"/>
    <w:basedOn w:val="Normal"/>
    <w:qFormat/>
    <w:rsid w:val="009D457B"/>
    <w:pPr>
      <w:tabs>
        <w:tab w:val="clear" w:pos="360"/>
        <w:tab w:val="clear" w:pos="720"/>
        <w:tab w:val="clear" w:pos="1080"/>
        <w:tab w:val="clear" w:pos="1440"/>
        <w:tab w:val="left" w:pos="794"/>
        <w:tab w:val="left" w:pos="1588"/>
        <w:tab w:val="center" w:pos="4849"/>
        <w:tab w:val="right" w:pos="9696"/>
      </w:tabs>
      <w:spacing w:before="193" w:after="240"/>
    </w:pPr>
    <w:rPr>
      <w:rFonts w:eastAsia="SimSun"/>
      <w:sz w:val="20"/>
      <w:lang w:val="en-GB"/>
    </w:rPr>
  </w:style>
  <w:style w:type="paragraph" w:customStyle="1" w:styleId="tablecell">
    <w:name w:val="table cell"/>
    <w:basedOn w:val="Normal"/>
    <w:rsid w:val="00B4060E"/>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B4060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algun Gothic"/>
      <w:sz w:val="20"/>
      <w:lang w:val="en-GB"/>
    </w:rPr>
  </w:style>
  <w:style w:type="character" w:customStyle="1" w:styleId="tablesyntaxChar">
    <w:name w:val="table syntax Char"/>
    <w:link w:val="tablesyntax"/>
    <w:locked/>
    <w:rsid w:val="00B4060E"/>
    <w:rPr>
      <w:rFonts w:eastAsia="Malgun Gothic"/>
      <w:lang w:val="en-GB" w:eastAsia="en-US"/>
    </w:rPr>
  </w:style>
  <w:style w:type="character" w:styleId="UnresolvedMention">
    <w:name w:val="Unresolved Mention"/>
    <w:basedOn w:val="DefaultParagraphFont"/>
    <w:uiPriority w:val="99"/>
    <w:semiHidden/>
    <w:unhideWhenUsed/>
    <w:rsid w:val="00025E9C"/>
    <w:rPr>
      <w:color w:val="808080"/>
      <w:shd w:val="clear" w:color="auto" w:fill="E6E6E6"/>
    </w:rPr>
  </w:style>
  <w:style w:type="character" w:customStyle="1" w:styleId="md-plain">
    <w:name w:val="md-plain"/>
    <w:basedOn w:val="DefaultParagraphFont"/>
    <w:rsid w:val="00274408"/>
  </w:style>
  <w:style w:type="character" w:customStyle="1" w:styleId="md-br">
    <w:name w:val="md-br"/>
    <w:basedOn w:val="DefaultParagraphFont"/>
    <w:rsid w:val="00274408"/>
  </w:style>
  <w:style w:type="character" w:styleId="CommentReference">
    <w:name w:val="annotation reference"/>
    <w:basedOn w:val="DefaultParagraphFont"/>
    <w:rsid w:val="00511064"/>
    <w:rPr>
      <w:sz w:val="16"/>
      <w:szCs w:val="16"/>
    </w:rPr>
  </w:style>
  <w:style w:type="paragraph" w:styleId="CommentText">
    <w:name w:val="annotation text"/>
    <w:basedOn w:val="Normal"/>
    <w:link w:val="CommentTextChar"/>
    <w:rsid w:val="00511064"/>
    <w:rPr>
      <w:sz w:val="20"/>
    </w:rPr>
  </w:style>
  <w:style w:type="character" w:customStyle="1" w:styleId="CommentTextChar">
    <w:name w:val="Comment Text Char"/>
    <w:basedOn w:val="DefaultParagraphFont"/>
    <w:link w:val="CommentText"/>
    <w:rsid w:val="00511064"/>
    <w:rPr>
      <w:lang w:val="en-US" w:eastAsia="en-US"/>
    </w:rPr>
  </w:style>
  <w:style w:type="paragraph" w:styleId="CommentSubject">
    <w:name w:val="annotation subject"/>
    <w:basedOn w:val="CommentText"/>
    <w:next w:val="CommentText"/>
    <w:link w:val="CommentSubjectChar"/>
    <w:rsid w:val="00511064"/>
    <w:rPr>
      <w:b/>
      <w:bCs/>
    </w:rPr>
  </w:style>
  <w:style w:type="character" w:customStyle="1" w:styleId="CommentSubjectChar">
    <w:name w:val="Comment Subject Char"/>
    <w:basedOn w:val="CommentTextChar"/>
    <w:link w:val="CommentSubject"/>
    <w:rsid w:val="00511064"/>
    <w:rPr>
      <w:b/>
      <w:bCs/>
      <w:lang w:val="en-US" w:eastAsia="en-US"/>
    </w:rPr>
  </w:style>
  <w:style w:type="paragraph" w:styleId="ListParagraph">
    <w:name w:val="List Paragraph"/>
    <w:basedOn w:val="Normal"/>
    <w:uiPriority w:val="72"/>
    <w:qFormat/>
    <w:rsid w:val="007C6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7970">
      <w:bodyDiv w:val="1"/>
      <w:marLeft w:val="0"/>
      <w:marRight w:val="0"/>
      <w:marTop w:val="0"/>
      <w:marBottom w:val="0"/>
      <w:divBdr>
        <w:top w:val="none" w:sz="0" w:space="0" w:color="auto"/>
        <w:left w:val="none" w:sz="0" w:space="0" w:color="auto"/>
        <w:bottom w:val="none" w:sz="0" w:space="0" w:color="auto"/>
        <w:right w:val="none" w:sz="0" w:space="0" w:color="auto"/>
      </w:divBdr>
    </w:div>
    <w:div w:id="38827810">
      <w:bodyDiv w:val="1"/>
      <w:marLeft w:val="0"/>
      <w:marRight w:val="0"/>
      <w:marTop w:val="0"/>
      <w:marBottom w:val="0"/>
      <w:divBdr>
        <w:top w:val="none" w:sz="0" w:space="0" w:color="auto"/>
        <w:left w:val="none" w:sz="0" w:space="0" w:color="auto"/>
        <w:bottom w:val="none" w:sz="0" w:space="0" w:color="auto"/>
        <w:right w:val="none" w:sz="0" w:space="0" w:color="auto"/>
      </w:divBdr>
    </w:div>
    <w:div w:id="407338758">
      <w:bodyDiv w:val="1"/>
      <w:marLeft w:val="0"/>
      <w:marRight w:val="0"/>
      <w:marTop w:val="0"/>
      <w:marBottom w:val="0"/>
      <w:divBdr>
        <w:top w:val="none" w:sz="0" w:space="0" w:color="auto"/>
        <w:left w:val="none" w:sz="0" w:space="0" w:color="auto"/>
        <w:bottom w:val="none" w:sz="0" w:space="0" w:color="auto"/>
        <w:right w:val="none" w:sz="0" w:space="0" w:color="auto"/>
      </w:divBdr>
    </w:div>
    <w:div w:id="464471399">
      <w:bodyDiv w:val="1"/>
      <w:marLeft w:val="0"/>
      <w:marRight w:val="0"/>
      <w:marTop w:val="0"/>
      <w:marBottom w:val="0"/>
      <w:divBdr>
        <w:top w:val="none" w:sz="0" w:space="0" w:color="auto"/>
        <w:left w:val="none" w:sz="0" w:space="0" w:color="auto"/>
        <w:bottom w:val="none" w:sz="0" w:space="0" w:color="auto"/>
        <w:right w:val="none" w:sz="0" w:space="0" w:color="auto"/>
      </w:divBdr>
    </w:div>
    <w:div w:id="479462944">
      <w:bodyDiv w:val="1"/>
      <w:marLeft w:val="0"/>
      <w:marRight w:val="0"/>
      <w:marTop w:val="0"/>
      <w:marBottom w:val="0"/>
      <w:divBdr>
        <w:top w:val="none" w:sz="0" w:space="0" w:color="auto"/>
        <w:left w:val="none" w:sz="0" w:space="0" w:color="auto"/>
        <w:bottom w:val="none" w:sz="0" w:space="0" w:color="auto"/>
        <w:right w:val="none" w:sz="0" w:space="0" w:color="auto"/>
      </w:divBdr>
    </w:div>
    <w:div w:id="638149623">
      <w:bodyDiv w:val="1"/>
      <w:marLeft w:val="0"/>
      <w:marRight w:val="0"/>
      <w:marTop w:val="0"/>
      <w:marBottom w:val="0"/>
      <w:divBdr>
        <w:top w:val="none" w:sz="0" w:space="0" w:color="auto"/>
        <w:left w:val="none" w:sz="0" w:space="0" w:color="auto"/>
        <w:bottom w:val="none" w:sz="0" w:space="0" w:color="auto"/>
        <w:right w:val="none" w:sz="0" w:space="0" w:color="auto"/>
      </w:divBdr>
    </w:div>
    <w:div w:id="696080517">
      <w:bodyDiv w:val="1"/>
      <w:marLeft w:val="0"/>
      <w:marRight w:val="0"/>
      <w:marTop w:val="0"/>
      <w:marBottom w:val="0"/>
      <w:divBdr>
        <w:top w:val="none" w:sz="0" w:space="0" w:color="auto"/>
        <w:left w:val="none" w:sz="0" w:space="0" w:color="auto"/>
        <w:bottom w:val="none" w:sz="0" w:space="0" w:color="auto"/>
        <w:right w:val="none" w:sz="0" w:space="0" w:color="auto"/>
      </w:divBdr>
    </w:div>
    <w:div w:id="803347139">
      <w:bodyDiv w:val="1"/>
      <w:marLeft w:val="0"/>
      <w:marRight w:val="0"/>
      <w:marTop w:val="0"/>
      <w:marBottom w:val="0"/>
      <w:divBdr>
        <w:top w:val="none" w:sz="0" w:space="0" w:color="auto"/>
        <w:left w:val="none" w:sz="0" w:space="0" w:color="auto"/>
        <w:bottom w:val="none" w:sz="0" w:space="0" w:color="auto"/>
        <w:right w:val="none" w:sz="0" w:space="0" w:color="auto"/>
      </w:divBdr>
    </w:div>
    <w:div w:id="856582162">
      <w:bodyDiv w:val="1"/>
      <w:marLeft w:val="0"/>
      <w:marRight w:val="0"/>
      <w:marTop w:val="0"/>
      <w:marBottom w:val="0"/>
      <w:divBdr>
        <w:top w:val="none" w:sz="0" w:space="0" w:color="auto"/>
        <w:left w:val="none" w:sz="0" w:space="0" w:color="auto"/>
        <w:bottom w:val="none" w:sz="0" w:space="0" w:color="auto"/>
        <w:right w:val="none" w:sz="0" w:space="0" w:color="auto"/>
      </w:divBdr>
    </w:div>
    <w:div w:id="923992242">
      <w:bodyDiv w:val="1"/>
      <w:marLeft w:val="0"/>
      <w:marRight w:val="0"/>
      <w:marTop w:val="0"/>
      <w:marBottom w:val="0"/>
      <w:divBdr>
        <w:top w:val="none" w:sz="0" w:space="0" w:color="auto"/>
        <w:left w:val="none" w:sz="0" w:space="0" w:color="auto"/>
        <w:bottom w:val="none" w:sz="0" w:space="0" w:color="auto"/>
        <w:right w:val="none" w:sz="0" w:space="0" w:color="auto"/>
      </w:divBdr>
    </w:div>
    <w:div w:id="933434900">
      <w:bodyDiv w:val="1"/>
      <w:marLeft w:val="0"/>
      <w:marRight w:val="0"/>
      <w:marTop w:val="0"/>
      <w:marBottom w:val="0"/>
      <w:divBdr>
        <w:top w:val="none" w:sz="0" w:space="0" w:color="auto"/>
        <w:left w:val="none" w:sz="0" w:space="0" w:color="auto"/>
        <w:bottom w:val="none" w:sz="0" w:space="0" w:color="auto"/>
        <w:right w:val="none" w:sz="0" w:space="0" w:color="auto"/>
      </w:divBdr>
    </w:div>
    <w:div w:id="1069034142">
      <w:bodyDiv w:val="1"/>
      <w:marLeft w:val="0"/>
      <w:marRight w:val="0"/>
      <w:marTop w:val="0"/>
      <w:marBottom w:val="0"/>
      <w:divBdr>
        <w:top w:val="none" w:sz="0" w:space="0" w:color="auto"/>
        <w:left w:val="none" w:sz="0" w:space="0" w:color="auto"/>
        <w:bottom w:val="none" w:sz="0" w:space="0" w:color="auto"/>
        <w:right w:val="none" w:sz="0" w:space="0" w:color="auto"/>
      </w:divBdr>
    </w:div>
    <w:div w:id="1368145414">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7170386">
      <w:bodyDiv w:val="1"/>
      <w:marLeft w:val="0"/>
      <w:marRight w:val="0"/>
      <w:marTop w:val="0"/>
      <w:marBottom w:val="0"/>
      <w:divBdr>
        <w:top w:val="none" w:sz="0" w:space="0" w:color="auto"/>
        <w:left w:val="none" w:sz="0" w:space="0" w:color="auto"/>
        <w:bottom w:val="none" w:sz="0" w:space="0" w:color="auto"/>
        <w:right w:val="none" w:sz="0" w:space="0" w:color="auto"/>
      </w:divBdr>
    </w:div>
    <w:div w:id="1967469388">
      <w:bodyDiv w:val="1"/>
      <w:marLeft w:val="0"/>
      <w:marRight w:val="0"/>
      <w:marTop w:val="0"/>
      <w:marBottom w:val="0"/>
      <w:divBdr>
        <w:top w:val="none" w:sz="0" w:space="0" w:color="auto"/>
        <w:left w:val="none" w:sz="0" w:space="0" w:color="auto"/>
        <w:bottom w:val="none" w:sz="0" w:space="0" w:color="auto"/>
        <w:right w:val="none" w:sz="0" w:space="0" w:color="auto"/>
      </w:divBdr>
    </w:div>
    <w:div w:id="2045247643">
      <w:bodyDiv w:val="1"/>
      <w:marLeft w:val="0"/>
      <w:marRight w:val="0"/>
      <w:marTop w:val="0"/>
      <w:marBottom w:val="0"/>
      <w:divBdr>
        <w:top w:val="none" w:sz="0" w:space="0" w:color="auto"/>
        <w:left w:val="none" w:sz="0" w:space="0" w:color="auto"/>
        <w:bottom w:val="none" w:sz="0" w:space="0" w:color="auto"/>
        <w:right w:val="none" w:sz="0" w:space="0" w:color="auto"/>
      </w:divBdr>
    </w:div>
    <w:div w:id="2105491342">
      <w:bodyDiv w:val="1"/>
      <w:marLeft w:val="0"/>
      <w:marRight w:val="0"/>
      <w:marTop w:val="0"/>
      <w:marBottom w:val="0"/>
      <w:divBdr>
        <w:top w:val="none" w:sz="0" w:space="0" w:color="auto"/>
        <w:left w:val="none" w:sz="0" w:space="0" w:color="auto"/>
        <w:bottom w:val="none" w:sz="0" w:space="0" w:color="auto"/>
        <w:right w:val="none" w:sz="0" w:space="0" w:color="auto"/>
      </w:divBdr>
    </w:div>
    <w:div w:id="21143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rl.sharman@eu.sony.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hm@ient.rwth-aachen.de" TargetMode="External"/><Relationship Id="rId17" Type="http://schemas.openxmlformats.org/officeDocument/2006/relationships/hyperlink" Target="mailto:jct-vc@lists.rwth-aachen.de" TargetMode="External"/><Relationship Id="rId2" Type="http://schemas.openxmlformats.org/officeDocument/2006/relationships/numbering" Target="numbering.xml"/><Relationship Id="rId16" Type="http://schemas.openxmlformats.org/officeDocument/2006/relationships/hyperlink" Target="mailto:yekui.wang@bytedance.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rosewarne@canon.com.au" TargetMode="External"/><Relationship Id="rId5" Type="http://schemas.openxmlformats.org/officeDocument/2006/relationships/webSettings" Target="webSettings.xml"/><Relationship Id="rId15" Type="http://schemas.openxmlformats.org/officeDocument/2006/relationships/hyperlink" Target="mailto:alexismt@apple.com" TargetMode="External"/><Relationship Id="rId10" Type="http://schemas.openxmlformats.org/officeDocument/2006/relationships/hyperlink" Target="mailto:benjamin.bross@hhi.fraunhofer.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garysull@microsof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FD14A-79FC-46BC-8E66-DCF37C758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763</Words>
  <Characters>4354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5107</CharactersWithSpaces>
  <SharedDoc>false</SharedDoc>
  <HLinks>
    <vt:vector size="48" baseType="variant">
      <vt:variant>
        <vt:i4>131081</vt:i4>
      </vt:variant>
      <vt:variant>
        <vt:i4>21</vt:i4>
      </vt:variant>
      <vt:variant>
        <vt:i4>0</vt:i4>
      </vt:variant>
      <vt:variant>
        <vt:i4>5</vt:i4>
      </vt:variant>
      <vt:variant>
        <vt:lpwstr>https://hevc.hhi.fraunhofer.de/trac/hevc</vt:lpwstr>
      </vt:variant>
      <vt:variant>
        <vt:lpwstr/>
      </vt:variant>
      <vt:variant>
        <vt:i4>4849699</vt:i4>
      </vt:variant>
      <vt:variant>
        <vt:i4>18</vt:i4>
      </vt:variant>
      <vt:variant>
        <vt:i4>0</vt:i4>
      </vt:variant>
      <vt:variant>
        <vt:i4>5</vt:i4>
      </vt:variant>
      <vt:variant>
        <vt:lpwstr>mailto:jct-vc@lists.rwth-aachen.de</vt:lpwstr>
      </vt:variant>
      <vt:variant>
        <vt:lpwstr/>
      </vt:variant>
      <vt:variant>
        <vt:i4>2424927</vt:i4>
      </vt:variant>
      <vt:variant>
        <vt:i4>15</vt:i4>
      </vt:variant>
      <vt:variant>
        <vt:i4>0</vt:i4>
      </vt:variant>
      <vt:variant>
        <vt:i4>5</vt:i4>
      </vt:variant>
      <vt:variant>
        <vt:lpwstr>mailto:yekui.wang@huawei.com</vt:lpwstr>
      </vt:variant>
      <vt:variant>
        <vt:lpwstr/>
      </vt:variant>
      <vt:variant>
        <vt:i4>6750290</vt:i4>
      </vt:variant>
      <vt:variant>
        <vt:i4>12</vt:i4>
      </vt:variant>
      <vt:variant>
        <vt:i4>0</vt:i4>
      </vt:variant>
      <vt:variant>
        <vt:i4>5</vt:i4>
      </vt:variant>
      <vt:variant>
        <vt:lpwstr>mailto:garysull@microsoft.com</vt:lpwstr>
      </vt:variant>
      <vt:variant>
        <vt:lpwstr/>
      </vt:variant>
      <vt:variant>
        <vt:i4>4653160</vt:i4>
      </vt:variant>
      <vt:variant>
        <vt:i4>9</vt:i4>
      </vt:variant>
      <vt:variant>
        <vt:i4>0</vt:i4>
      </vt:variant>
      <vt:variant>
        <vt:i4>5</vt:i4>
      </vt:variant>
      <vt:variant>
        <vt:lpwstr>mailto:karl.sharman@eu.sony.com</vt:lpwstr>
      </vt:variant>
      <vt:variant>
        <vt:lpwstr/>
      </vt:variant>
      <vt:variant>
        <vt:i4>7995483</vt:i4>
      </vt:variant>
      <vt:variant>
        <vt:i4>6</vt:i4>
      </vt:variant>
      <vt:variant>
        <vt:i4>0</vt:i4>
      </vt:variant>
      <vt:variant>
        <vt:i4>5</vt:i4>
      </vt:variant>
      <vt:variant>
        <vt:lpwstr>mailto:ohm@ient.rwth-aachen.de</vt:lpwstr>
      </vt:variant>
      <vt:variant>
        <vt:lpwstr/>
      </vt:variant>
      <vt:variant>
        <vt:i4>1835124</vt:i4>
      </vt:variant>
      <vt:variant>
        <vt:i4>3</vt:i4>
      </vt:variant>
      <vt:variant>
        <vt:i4>0</vt:i4>
      </vt:variant>
      <vt:variant>
        <vt:i4>5</vt:i4>
      </vt:variant>
      <vt:variant>
        <vt:lpwstr>mailto:chris.rosewarne@cisra.canon.com.au</vt:lpwstr>
      </vt:variant>
      <vt:variant>
        <vt:lpwstr/>
      </vt:variant>
      <vt:variant>
        <vt:i4>5242996</vt:i4>
      </vt:variant>
      <vt:variant>
        <vt:i4>0</vt:i4>
      </vt:variant>
      <vt:variant>
        <vt:i4>0</vt:i4>
      </vt:variant>
      <vt:variant>
        <vt:i4>5</vt:i4>
      </vt:variant>
      <vt:variant>
        <vt:lpwstr>mailto:benjamin.bross@hhi.fraunhofer.de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Chris Rosewarne (Canon)</cp:lastModifiedBy>
  <cp:revision>13</cp:revision>
  <cp:lastPrinted>2018-01-15T23:50:00Z</cp:lastPrinted>
  <dcterms:created xsi:type="dcterms:W3CDTF">2020-01-09T14:36:00Z</dcterms:created>
  <dcterms:modified xsi:type="dcterms:W3CDTF">2020-04-17T14:23:00Z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