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77777777" w:rsidR="006C5D39" w:rsidRPr="005B217D" w:rsidRDefault="00D133BE" w:rsidP="00C97D78">
            <w:pPr>
              <w:tabs>
                <w:tab w:val="left" w:pos="7200"/>
              </w:tabs>
              <w:spacing w:before="0"/>
              <w:rPr>
                <w:b/>
                <w:szCs w:val="22"/>
                <w:lang w:val="en-CA"/>
              </w:rPr>
            </w:pPr>
            <w:r>
              <w:rPr>
                <w:b/>
                <w:szCs w:val="22"/>
                <w:lang w:val="en-CA"/>
              </w:rPr>
              <w:pict w14:anchorId="79C45207">
                <v:group id="_x0000_s1026" style="position:absolute;left:0;text-align:left;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w14:anchorId="7B8BC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48.05pt;margin-top:-25.1pt;width:23.1pt;height:21.05pt;z-index:3">
                  <v:imagedata r:id="rId7" o:title=""/>
                </v:shape>
              </w:pict>
            </w:r>
            <w:r>
              <w:rPr>
                <w:b/>
                <w:szCs w:val="22"/>
                <w:lang w:val="en-CA"/>
              </w:rPr>
              <w:pict w14:anchorId="3C1C6D58">
                <v:shape id="_x0000_s1050" type="#_x0000_t75" style="position:absolute;left:0;text-align:left;margin-left:21.15pt;margin-top:-25.1pt;width:23.2pt;height:21.05pt;z-index:2">
                  <v:imagedata r:id="rId8"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47ED836A" w:rsidR="00E61DAC" w:rsidRPr="005B217D" w:rsidRDefault="00855232" w:rsidP="00C33ADC">
            <w:pPr>
              <w:tabs>
                <w:tab w:val="left" w:pos="7200"/>
              </w:tabs>
              <w:spacing w:before="0"/>
              <w:rPr>
                <w:b/>
                <w:szCs w:val="22"/>
                <w:lang w:val="en-CA"/>
              </w:rPr>
            </w:pPr>
            <w:r>
              <w:t>3</w:t>
            </w:r>
            <w:r w:rsidR="00D81879">
              <w:t>2nd</w:t>
            </w:r>
            <w:r w:rsidR="00A767DC" w:rsidRPr="00B648F1">
              <w:t xml:space="preserve"> Meeting: </w:t>
            </w:r>
            <w:r w:rsidR="00D81879" w:rsidRPr="00D81879">
              <w:rPr>
                <w:lang w:val="en-CA"/>
              </w:rPr>
              <w:t>Ljubljana, SI, 1</w:t>
            </w:r>
            <w:r w:rsidR="00D81879">
              <w:rPr>
                <w:lang w:val="en-CA"/>
              </w:rPr>
              <w:t>2</w:t>
            </w:r>
            <w:r w:rsidR="00D81879" w:rsidRPr="00D81879">
              <w:rPr>
                <w:lang w:val="en-CA"/>
              </w:rPr>
              <w:t>–18 July</w:t>
            </w:r>
            <w:r w:rsidR="00975472" w:rsidRPr="00B648F1">
              <w:rPr>
                <w:lang w:val="en-CA"/>
              </w:rPr>
              <w:t xml:space="preserve"> 201</w:t>
            </w:r>
            <w:r>
              <w:rPr>
                <w:lang w:val="en-CA"/>
              </w:rPr>
              <w:t>8</w:t>
            </w:r>
          </w:p>
        </w:tc>
        <w:tc>
          <w:tcPr>
            <w:tcW w:w="3168" w:type="dxa"/>
          </w:tcPr>
          <w:p w14:paraId="353C5F48" w14:textId="56901D11" w:rsidR="008A4B4C" w:rsidRPr="005B217D" w:rsidRDefault="00E61DAC" w:rsidP="00C33AD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sidRPr="00DB6F91">
              <w:rPr>
                <w:lang w:val="en-CA"/>
              </w:rPr>
              <w:t>A</w:t>
            </w:r>
            <w:r w:rsidR="00D81879" w:rsidRPr="00DB6F91">
              <w:rPr>
                <w:lang w:val="en-CA"/>
              </w:rPr>
              <w:t>F</w:t>
            </w:r>
            <w:r w:rsidR="00DB6F91" w:rsidRPr="00DB6F91">
              <w:rPr>
                <w:lang w:val="en-CA"/>
              </w:rPr>
              <w:t>0027</w:t>
            </w:r>
            <w:r w:rsidR="006B20FE" w:rsidRPr="006B20FE">
              <w:rPr>
                <w:lang w:val="en-CA"/>
              </w:rPr>
              <w:t>-v1</w:t>
            </w:r>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3FB4CF44" w:rsidR="00E61DAC" w:rsidRPr="005B217D" w:rsidRDefault="0057004A">
            <w:pPr>
              <w:spacing w:before="60" w:after="60"/>
              <w:rPr>
                <w:b/>
                <w:szCs w:val="22"/>
                <w:lang w:val="en-CA"/>
              </w:rPr>
            </w:pPr>
            <w:r>
              <w:rPr>
                <w:b/>
                <w:szCs w:val="22"/>
                <w:lang w:val="en-CA"/>
              </w:rPr>
              <w:t>Parallel random-access encoding</w:t>
            </w:r>
            <w:r w:rsidR="00AF4532">
              <w:rPr>
                <w:b/>
                <w:szCs w:val="22"/>
                <w:lang w:val="en-CA"/>
              </w:rPr>
              <w:t xml:space="preserve"> with HM</w:t>
            </w:r>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5B7A3BFF" w:rsidR="00E61DAC" w:rsidRPr="005B217D" w:rsidRDefault="00646B4E" w:rsidP="0057004A">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288D263C" w:rsidR="00E61DAC" w:rsidRPr="005B217D" w:rsidRDefault="00E61DAC" w:rsidP="0057004A">
            <w:pPr>
              <w:spacing w:before="60" w:after="60"/>
              <w:rPr>
                <w:szCs w:val="22"/>
                <w:lang w:val="en-CA"/>
              </w:rPr>
            </w:pPr>
            <w:r w:rsidRPr="005B217D">
              <w:rPr>
                <w:szCs w:val="22"/>
                <w:lang w:val="en-CA"/>
              </w:rPr>
              <w:t>Proposal</w:t>
            </w:r>
          </w:p>
        </w:tc>
      </w:tr>
      <w:tr w:rsidR="00E61DAC" w:rsidRPr="005B217D" w14:paraId="11A48DDC" w14:textId="77777777">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2B5957D" w14:textId="7670B0C4" w:rsidR="00E61DAC" w:rsidRPr="005B217D" w:rsidRDefault="0057004A" w:rsidP="0057004A">
            <w:pPr>
              <w:spacing w:before="60" w:after="60"/>
              <w:rPr>
                <w:szCs w:val="22"/>
                <w:lang w:val="en-CA"/>
              </w:rPr>
            </w:pPr>
            <w:r>
              <w:rPr>
                <w:szCs w:val="22"/>
                <w:lang w:val="en-CA"/>
              </w:rPr>
              <w:t>Karl Sharman</w:t>
            </w:r>
          </w:p>
        </w:tc>
        <w:tc>
          <w:tcPr>
            <w:tcW w:w="900" w:type="dxa"/>
          </w:tcPr>
          <w:p w14:paraId="1B34B461" w14:textId="3EA0F884" w:rsidR="00E61DAC" w:rsidRPr="005B217D" w:rsidRDefault="00E61DAC" w:rsidP="0057004A">
            <w:pPr>
              <w:spacing w:before="60" w:after="60"/>
              <w:rPr>
                <w:szCs w:val="22"/>
                <w:lang w:val="en-CA"/>
              </w:rPr>
            </w:pPr>
            <w:r w:rsidRPr="005B217D">
              <w:rPr>
                <w:szCs w:val="22"/>
                <w:lang w:val="en-CA"/>
              </w:rPr>
              <w:t>Email:</w:t>
            </w:r>
          </w:p>
        </w:tc>
        <w:tc>
          <w:tcPr>
            <w:tcW w:w="3168" w:type="dxa"/>
          </w:tcPr>
          <w:p w14:paraId="4FF8AA28" w14:textId="50A3AA5A" w:rsidR="00E61DAC" w:rsidRPr="005B217D" w:rsidRDefault="0057004A" w:rsidP="0057004A">
            <w:pPr>
              <w:spacing w:before="60" w:after="60"/>
              <w:rPr>
                <w:szCs w:val="22"/>
                <w:lang w:val="en-CA"/>
              </w:rPr>
            </w:pPr>
            <w:r>
              <w:rPr>
                <w:szCs w:val="22"/>
                <w:lang w:val="en-CA"/>
              </w:rPr>
              <w:t>Karl.sharman@sony.com</w:t>
            </w:r>
          </w:p>
        </w:tc>
      </w:tr>
      <w:tr w:rsidR="00E61DAC" w:rsidRPr="005B217D" w14:paraId="508325BE" w14:textId="77777777">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135B45AF" w:rsidR="00E61DAC" w:rsidRPr="005B217D" w:rsidRDefault="0057004A">
            <w:pPr>
              <w:spacing w:before="60" w:after="60"/>
              <w:rPr>
                <w:szCs w:val="22"/>
                <w:lang w:val="en-CA"/>
              </w:rPr>
            </w:pPr>
            <w:r>
              <w:rPr>
                <w:szCs w:val="22"/>
                <w:lang w:val="en-CA"/>
              </w:rPr>
              <w:t>Sony Europe Ltd</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5D1C05F" w14:textId="7B09A075" w:rsidR="0057004A" w:rsidRDefault="0057004A" w:rsidP="009234A5">
      <w:pPr>
        <w:rPr>
          <w:lang w:val="en-CA"/>
        </w:rPr>
      </w:pPr>
      <w:r>
        <w:rPr>
          <w:lang w:val="en-CA"/>
        </w:rPr>
        <w:t>It is proposed to patch the HM encoder so that the JVET-scheme for parallel e</w:t>
      </w:r>
      <w:bookmarkStart w:id="0" w:name="_GoBack"/>
      <w:bookmarkEnd w:id="0"/>
      <w:r>
        <w:rPr>
          <w:lang w:val="en-CA"/>
        </w:rPr>
        <w:t>ncoding of random-access configurations can be used. It is also proposed that the patch (which includes an enabling command line option) is turned on for CTCs. BD-rate changes are claimed to be negligible for RExt and HM420 CTCs.</w:t>
      </w:r>
    </w:p>
    <w:p w14:paraId="5C6252B9" w14:textId="437F00D0" w:rsidR="00263398" w:rsidRDefault="0057004A" w:rsidP="009234A5">
      <w:pPr>
        <w:rPr>
          <w:lang w:val="en-CA"/>
        </w:rPr>
      </w:pPr>
      <w:r>
        <w:rPr>
          <w:lang w:val="en-CA"/>
        </w:rPr>
        <w:t>A patch is provided in the contribution for HM</w:t>
      </w:r>
      <w:r w:rsidR="00771F14">
        <w:rPr>
          <w:lang w:val="en-CA"/>
        </w:rPr>
        <w:t>16.19</w:t>
      </w:r>
      <w:r>
        <w:rPr>
          <w:lang w:val="en-CA"/>
        </w:rPr>
        <w:t>.</w:t>
      </w:r>
    </w:p>
    <w:p w14:paraId="0A7C9641" w14:textId="77777777" w:rsidR="0057004A" w:rsidRPr="005B217D" w:rsidRDefault="0057004A" w:rsidP="009234A5">
      <w:pPr>
        <w:rPr>
          <w:szCs w:val="22"/>
          <w:lang w:val="en-CA"/>
        </w:rPr>
      </w:pPr>
    </w:p>
    <w:p w14:paraId="430C72DA" w14:textId="6A3ED3E0" w:rsidR="00745F6B" w:rsidRPr="005B217D" w:rsidRDefault="00745F6B" w:rsidP="00E11923">
      <w:pPr>
        <w:pStyle w:val="Heading1"/>
        <w:rPr>
          <w:lang w:val="en-CA"/>
        </w:rPr>
      </w:pPr>
      <w:r w:rsidRPr="005B217D">
        <w:rPr>
          <w:lang w:val="en-CA"/>
        </w:rPr>
        <w:t>Introduction</w:t>
      </w:r>
    </w:p>
    <w:p w14:paraId="1D39D57B" w14:textId="31106B53" w:rsidR="001F2594" w:rsidRDefault="001C4082" w:rsidP="009234A5">
      <w:pPr>
        <w:rPr>
          <w:szCs w:val="22"/>
          <w:lang w:val="en-CA"/>
        </w:rPr>
      </w:pPr>
      <w:r>
        <w:rPr>
          <w:szCs w:val="22"/>
          <w:lang w:val="en-CA"/>
        </w:rPr>
        <w:t xml:space="preserve">JVET </w:t>
      </w:r>
      <w:r w:rsidR="0057004A">
        <w:rPr>
          <w:szCs w:val="22"/>
          <w:lang w:val="en-CA"/>
        </w:rPr>
        <w:t>allow</w:t>
      </w:r>
      <w:r>
        <w:rPr>
          <w:szCs w:val="22"/>
          <w:lang w:val="en-CA"/>
        </w:rPr>
        <w:t>s a method for</w:t>
      </w:r>
      <w:r w:rsidR="0057004A">
        <w:rPr>
          <w:szCs w:val="22"/>
          <w:lang w:val="en-CA"/>
        </w:rPr>
        <w:t xml:space="preserve"> random-access intra-periods </w:t>
      </w:r>
      <w:r>
        <w:rPr>
          <w:szCs w:val="22"/>
          <w:lang w:val="en-CA"/>
        </w:rPr>
        <w:t>to be encoded in parallel</w:t>
      </w:r>
      <w:r w:rsidR="0057004A">
        <w:rPr>
          <w:szCs w:val="22"/>
          <w:lang w:val="en-CA"/>
        </w:rPr>
        <w:t>.</w:t>
      </w:r>
      <w:r>
        <w:rPr>
          <w:szCs w:val="22"/>
          <w:lang w:val="en-CA"/>
        </w:rPr>
        <w:t xml:space="preserve"> The scheme used</w:t>
      </w:r>
      <w:r w:rsidR="0057004A">
        <w:rPr>
          <w:szCs w:val="22"/>
          <w:lang w:val="en-CA"/>
        </w:rPr>
        <w:t xml:space="preserve"> is to split the encoding into intra-periods, with subsequent intra periods including an initial IDR frame. This IDR frame (and associated SEIs and parameter sets) can be removed, with the aim to produce a bitstream “bin” file that is identical to encoding the random-access sequence in one encoding process.</w:t>
      </w:r>
    </w:p>
    <w:p w14:paraId="4B53BD2B" w14:textId="6EF96D07" w:rsidR="0057004A" w:rsidRDefault="0057004A" w:rsidP="009234A5">
      <w:pPr>
        <w:rPr>
          <w:szCs w:val="22"/>
          <w:lang w:val="en-CA"/>
        </w:rPr>
      </w:pPr>
      <w:r>
        <w:rPr>
          <w:szCs w:val="22"/>
          <w:lang w:val="en-CA"/>
        </w:rPr>
        <w:t>For example, for a 50Hz sequence, which would have an intra-period of 48, the encodings would be:</w:t>
      </w:r>
    </w:p>
    <w:p w14:paraId="3F88678D" w14:textId="0EACD1A4" w:rsidR="0057004A" w:rsidRDefault="0057004A" w:rsidP="001C4082">
      <w:pPr>
        <w:ind w:left="360"/>
        <w:rPr>
          <w:szCs w:val="22"/>
          <w:lang w:val="en-CA"/>
        </w:rPr>
      </w:pPr>
      <w:r>
        <w:rPr>
          <w:szCs w:val="22"/>
          <w:lang w:val="en-CA"/>
        </w:rPr>
        <w:t>Encoding #1: frames 0-48 (inclusive)</w:t>
      </w:r>
    </w:p>
    <w:p w14:paraId="2FCBF2BF" w14:textId="2957217F" w:rsidR="0057004A" w:rsidRDefault="0057004A" w:rsidP="001C4082">
      <w:pPr>
        <w:ind w:left="360"/>
        <w:rPr>
          <w:szCs w:val="22"/>
          <w:lang w:val="en-CA"/>
        </w:rPr>
      </w:pPr>
      <w:r>
        <w:rPr>
          <w:szCs w:val="22"/>
          <w:lang w:val="en-CA"/>
        </w:rPr>
        <w:t>Encoding #2: frames 48-96 (inclusive).</w:t>
      </w:r>
    </w:p>
    <w:p w14:paraId="458F4071" w14:textId="76D6CBD8" w:rsidR="0057004A" w:rsidRDefault="0057004A" w:rsidP="001C4082">
      <w:pPr>
        <w:ind w:left="360"/>
        <w:rPr>
          <w:szCs w:val="22"/>
          <w:lang w:val="en-CA"/>
        </w:rPr>
      </w:pPr>
      <w:r>
        <w:rPr>
          <w:szCs w:val="22"/>
          <w:lang w:val="en-CA"/>
        </w:rPr>
        <w:t>Encoding #3: frames 96-144 (inclusive)</w:t>
      </w:r>
    </w:p>
    <w:p w14:paraId="508B9007" w14:textId="720D88A3" w:rsidR="0057004A" w:rsidRDefault="0057004A" w:rsidP="001C4082">
      <w:pPr>
        <w:ind w:left="360"/>
        <w:rPr>
          <w:szCs w:val="22"/>
          <w:lang w:val="en-CA"/>
        </w:rPr>
      </w:pPr>
      <w:r>
        <w:rPr>
          <w:szCs w:val="22"/>
          <w:lang w:val="en-CA"/>
        </w:rPr>
        <w:tab/>
      </w:r>
      <w:r>
        <w:rPr>
          <w:szCs w:val="22"/>
          <w:lang w:val="en-CA"/>
        </w:rPr>
        <w:tab/>
        <w:t>…</w:t>
      </w:r>
    </w:p>
    <w:p w14:paraId="0C3FB80C" w14:textId="0228EB48" w:rsidR="0057004A" w:rsidRDefault="0057004A" w:rsidP="001C4082">
      <w:pPr>
        <w:ind w:left="360"/>
        <w:rPr>
          <w:szCs w:val="22"/>
          <w:lang w:val="en-CA"/>
        </w:rPr>
      </w:pPr>
      <w:r>
        <w:rPr>
          <w:szCs w:val="22"/>
          <w:lang w:val="en-CA"/>
        </w:rPr>
        <w:t>During the parallel “bin” file concatenation process, the NALUs associated with the first POC of encodings #2, #3… would be dropped.</w:t>
      </w:r>
    </w:p>
    <w:p w14:paraId="12C02350" w14:textId="0B54532B" w:rsidR="0057004A" w:rsidRDefault="001C4082" w:rsidP="009234A5">
      <w:pPr>
        <w:rPr>
          <w:szCs w:val="22"/>
          <w:lang w:val="en-CA"/>
        </w:rPr>
      </w:pPr>
      <w:r>
        <w:rPr>
          <w:szCs w:val="22"/>
          <w:lang w:val="en-CA"/>
        </w:rPr>
        <w:t>Note that JVET also permits the collation of result logs instead of the concatenation of bin files, noting that errors are typically at the 4</w:t>
      </w:r>
      <w:r w:rsidRPr="001C4082">
        <w:rPr>
          <w:szCs w:val="22"/>
          <w:vertAlign w:val="superscript"/>
          <w:lang w:val="en-CA"/>
        </w:rPr>
        <w:t>th</w:t>
      </w:r>
      <w:r>
        <w:rPr>
          <w:szCs w:val="22"/>
          <w:lang w:val="en-CA"/>
        </w:rPr>
        <w:t xml:space="preserve"> decimal place for PSNRs and bitrates.</w:t>
      </w:r>
    </w:p>
    <w:p w14:paraId="16F34584" w14:textId="77777777" w:rsidR="001C4082" w:rsidRDefault="001C4082" w:rsidP="009234A5">
      <w:pPr>
        <w:rPr>
          <w:szCs w:val="22"/>
          <w:lang w:val="en-CA"/>
        </w:rPr>
      </w:pPr>
    </w:p>
    <w:p w14:paraId="77DC3DF2" w14:textId="5FFBE58B" w:rsidR="0057004A" w:rsidRDefault="0057004A" w:rsidP="009234A5">
      <w:pPr>
        <w:rPr>
          <w:szCs w:val="22"/>
          <w:lang w:val="en-CA"/>
        </w:rPr>
      </w:pPr>
      <w:r>
        <w:rPr>
          <w:szCs w:val="22"/>
          <w:lang w:val="en-CA"/>
        </w:rPr>
        <w:t>When first introduced to JVET,</w:t>
      </w:r>
      <w:r w:rsidR="001C4082">
        <w:rPr>
          <w:szCs w:val="22"/>
          <w:lang w:val="en-CA"/>
        </w:rPr>
        <w:t xml:space="preserve"> a patch for HM was supplied to fix the reliance on frames prior to the IDR in SAO. However, it was noticed that this did not function correctly when the intra period was 16 (which it is for one of the current CTC sequences). Note there is no such issue in VTM.</w:t>
      </w:r>
    </w:p>
    <w:p w14:paraId="5DA1F31D" w14:textId="3FC7F88A" w:rsidR="001C4082" w:rsidRDefault="001C4082" w:rsidP="009234A5">
      <w:pPr>
        <w:rPr>
          <w:szCs w:val="22"/>
          <w:lang w:val="en-CA"/>
        </w:rPr>
      </w:pPr>
      <w:r>
        <w:rPr>
          <w:szCs w:val="22"/>
          <w:lang w:val="en-CA"/>
        </w:rPr>
        <w:t>However, there is also a further part of HM that needs to be corrected: cabac_init_flag depends on the previously coded inter slice, disregarding any reset across the IDR boundary.</w:t>
      </w:r>
    </w:p>
    <w:p w14:paraId="3CC0A964" w14:textId="2B9F0CDC" w:rsidR="001C4082" w:rsidRDefault="001C4082" w:rsidP="009234A5">
      <w:pPr>
        <w:rPr>
          <w:szCs w:val="22"/>
          <w:lang w:val="en-CA"/>
        </w:rPr>
      </w:pPr>
      <w:r>
        <w:rPr>
          <w:szCs w:val="22"/>
          <w:lang w:val="en-CA"/>
        </w:rPr>
        <w:t xml:space="preserve">Therefore it is proposed that HM be modified so that both features are reset, in a way that works with small intra periods. The patch is also consistent to the mechanism used in VTM. The patch includes </w:t>
      </w:r>
      <w:r>
        <w:rPr>
          <w:szCs w:val="22"/>
          <w:lang w:val="en-CA"/>
        </w:rPr>
        <w:lastRenderedPageBreak/>
        <w:t>changing the command line switch “</w:t>
      </w:r>
      <w:r w:rsidRPr="001C4082">
        <w:rPr>
          <w:szCs w:val="22"/>
          <w:lang w:val="en-CA"/>
        </w:rPr>
        <w:t>SAOResetEncoderStateAfterIRAP</w:t>
      </w:r>
      <w:r>
        <w:rPr>
          <w:szCs w:val="22"/>
          <w:lang w:val="en-CA"/>
        </w:rPr>
        <w:t>" to “</w:t>
      </w:r>
      <w:r w:rsidRPr="001C4082">
        <w:rPr>
          <w:szCs w:val="22"/>
          <w:lang w:val="en-CA"/>
        </w:rPr>
        <w:t>ResetEncoderStateAfterIRAP</w:t>
      </w:r>
      <w:r>
        <w:rPr>
          <w:szCs w:val="22"/>
          <w:lang w:val="en-CA"/>
        </w:rPr>
        <w:t>”</w:t>
      </w:r>
    </w:p>
    <w:p w14:paraId="2A0ABAE7" w14:textId="4B055398" w:rsidR="001C4082" w:rsidRDefault="001C4082" w:rsidP="009234A5">
      <w:pPr>
        <w:rPr>
          <w:szCs w:val="22"/>
          <w:lang w:val="en-CA"/>
        </w:rPr>
      </w:pPr>
      <w:r>
        <w:rPr>
          <w:szCs w:val="22"/>
          <w:lang w:val="en-CA"/>
        </w:rPr>
        <w:t>In addition, it is proposed that the 4:2:0 and RExt random-acces</w:t>
      </w:r>
      <w:r w:rsidR="001B3859">
        <w:rPr>
          <w:szCs w:val="22"/>
          <w:lang w:val="en-CA"/>
        </w:rPr>
        <w:t>s configurations be changed to</w:t>
      </w:r>
      <w:r>
        <w:rPr>
          <w:szCs w:val="22"/>
          <w:lang w:val="en-CA"/>
        </w:rPr>
        <w:t xml:space="preserve"> always</w:t>
      </w:r>
      <w:r w:rsidR="001B3859">
        <w:rPr>
          <w:szCs w:val="22"/>
          <w:lang w:val="en-CA"/>
        </w:rPr>
        <w:t xml:space="preserve"> set </w:t>
      </w:r>
      <w:r w:rsidR="001B3859" w:rsidRPr="001C4082">
        <w:rPr>
          <w:szCs w:val="22"/>
          <w:lang w:val="en-CA"/>
        </w:rPr>
        <w:t>ResetEncoderStateAfterIRAP</w:t>
      </w:r>
      <w:r w:rsidR="001B3859">
        <w:rPr>
          <w:szCs w:val="22"/>
          <w:lang w:val="en-CA"/>
        </w:rPr>
        <w:t xml:space="preserve"> to 1. This means that there is consistency if users wish to parallel encode random-access simulations.</w:t>
      </w:r>
    </w:p>
    <w:p w14:paraId="7A4F12CF" w14:textId="77777777" w:rsidR="00771F14" w:rsidRDefault="00771F14" w:rsidP="009234A5">
      <w:pPr>
        <w:rPr>
          <w:szCs w:val="22"/>
          <w:lang w:val="en-CA"/>
        </w:rPr>
      </w:pPr>
    </w:p>
    <w:p w14:paraId="7596A178" w14:textId="2A50B289" w:rsidR="001C4082" w:rsidRDefault="001B3859" w:rsidP="001C4082">
      <w:pPr>
        <w:pStyle w:val="Heading1"/>
        <w:rPr>
          <w:lang w:val="en-CA"/>
        </w:rPr>
      </w:pPr>
      <w:r>
        <w:rPr>
          <w:lang w:val="en-CA"/>
        </w:rPr>
        <w:t>Results</w:t>
      </w:r>
    </w:p>
    <w:p w14:paraId="174FE743" w14:textId="4570D3A7" w:rsidR="001C4082" w:rsidRDefault="001B3859" w:rsidP="001C4082">
      <w:pPr>
        <w:rPr>
          <w:lang w:val="en-CA"/>
        </w:rPr>
      </w:pPr>
      <w:r>
        <w:rPr>
          <w:lang w:val="en-CA"/>
        </w:rPr>
        <w:t>The full results are included in the contribution. All-intra and low-delay configurations are unaffected. The anchor is HM16.19.</w:t>
      </w:r>
    </w:p>
    <w:p w14:paraId="14749A2B" w14:textId="584B17B2" w:rsidR="001B3859" w:rsidRDefault="001B3859" w:rsidP="001B3859">
      <w:pPr>
        <w:pStyle w:val="Heading2"/>
        <w:rPr>
          <w:lang w:val="en-CA"/>
        </w:rPr>
      </w:pPr>
      <w:r>
        <w:rPr>
          <w:lang w:val="en-CA"/>
        </w:rPr>
        <w:t>4:2:0 results</w:t>
      </w:r>
    </w:p>
    <w:p w14:paraId="237AB3A7" w14:textId="77777777" w:rsidR="001B3859" w:rsidRDefault="001B3859" w:rsidP="001C4082">
      <w:pPr>
        <w:rPr>
          <w:lang w:val="en-CA"/>
        </w:rPr>
      </w:pPr>
    </w:p>
    <w:tbl>
      <w:tblPr>
        <w:tblW w:w="0" w:type="auto"/>
        <w:tblInd w:w="78" w:type="dxa"/>
        <w:tblLayout w:type="fixed"/>
        <w:tblLook w:val="0000" w:firstRow="0" w:lastRow="0" w:firstColumn="0" w:lastColumn="0" w:noHBand="0" w:noVBand="0"/>
      </w:tblPr>
      <w:tblGrid>
        <w:gridCol w:w="1332"/>
        <w:gridCol w:w="1087"/>
        <w:gridCol w:w="1087"/>
        <w:gridCol w:w="1088"/>
        <w:gridCol w:w="1087"/>
        <w:gridCol w:w="1087"/>
        <w:gridCol w:w="1087"/>
      </w:tblGrid>
      <w:tr w:rsidR="001B3859" w14:paraId="6163CD45" w14:textId="77777777" w:rsidTr="001B3859">
        <w:trPr>
          <w:trHeight w:val="238"/>
        </w:trPr>
        <w:tc>
          <w:tcPr>
            <w:tcW w:w="1332" w:type="dxa"/>
            <w:tcBorders>
              <w:top w:val="nil"/>
              <w:left w:val="nil"/>
              <w:bottom w:val="nil"/>
              <w:right w:val="nil"/>
            </w:tcBorders>
          </w:tcPr>
          <w:p w14:paraId="01E9FD9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right"/>
              <w:textAlignment w:val="auto"/>
              <w:rPr>
                <w:rFonts w:ascii="Arial" w:hAnsi="Arial" w:cs="Arial"/>
                <w:color w:val="000000"/>
                <w:sz w:val="18"/>
                <w:szCs w:val="18"/>
                <w:lang w:val="en-GB"/>
              </w:rPr>
            </w:pPr>
          </w:p>
        </w:tc>
        <w:tc>
          <w:tcPr>
            <w:tcW w:w="3262" w:type="dxa"/>
            <w:gridSpan w:val="3"/>
            <w:tcBorders>
              <w:top w:val="single" w:sz="12" w:space="0" w:color="auto"/>
              <w:left w:val="single" w:sz="12" w:space="0" w:color="auto"/>
              <w:bottom w:val="nil"/>
              <w:right w:val="single" w:sz="12" w:space="0" w:color="auto"/>
            </w:tcBorders>
          </w:tcPr>
          <w:p w14:paraId="01BD39CF" w14:textId="2E5568A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b/>
                <w:bCs/>
                <w:color w:val="000000"/>
                <w:sz w:val="18"/>
                <w:szCs w:val="18"/>
                <w:lang w:val="en-GB"/>
              </w:rPr>
            </w:pPr>
            <w:r>
              <w:rPr>
                <w:rFonts w:ascii="Arial" w:hAnsi="Arial" w:cs="Arial"/>
                <w:b/>
                <w:bCs/>
                <w:color w:val="000000"/>
                <w:sz w:val="18"/>
                <w:szCs w:val="18"/>
                <w:lang w:val="en-GB"/>
              </w:rPr>
              <w:t>Random Access Main</w:t>
            </w:r>
          </w:p>
        </w:tc>
        <w:tc>
          <w:tcPr>
            <w:tcW w:w="3261" w:type="dxa"/>
            <w:gridSpan w:val="3"/>
            <w:tcBorders>
              <w:top w:val="single" w:sz="12" w:space="0" w:color="auto"/>
              <w:left w:val="single" w:sz="12" w:space="0" w:color="auto"/>
              <w:bottom w:val="nil"/>
              <w:right w:val="single" w:sz="12" w:space="0" w:color="auto"/>
            </w:tcBorders>
          </w:tcPr>
          <w:p w14:paraId="535F7864"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b/>
                <w:bCs/>
                <w:color w:val="000000"/>
                <w:sz w:val="18"/>
                <w:szCs w:val="18"/>
                <w:lang w:val="en-GB"/>
              </w:rPr>
            </w:pPr>
            <w:r>
              <w:rPr>
                <w:rFonts w:ascii="Arial" w:hAnsi="Arial" w:cs="Arial"/>
                <w:b/>
                <w:bCs/>
                <w:color w:val="000000"/>
                <w:sz w:val="18"/>
                <w:szCs w:val="18"/>
                <w:lang w:val="en-GB"/>
              </w:rPr>
              <w:t>Random Access Main 10</w:t>
            </w:r>
          </w:p>
        </w:tc>
      </w:tr>
      <w:tr w:rsidR="001B3859" w14:paraId="1E60C1D4" w14:textId="77777777" w:rsidTr="001B3859">
        <w:trPr>
          <w:trHeight w:val="252"/>
        </w:trPr>
        <w:tc>
          <w:tcPr>
            <w:tcW w:w="1332" w:type="dxa"/>
            <w:tcBorders>
              <w:top w:val="nil"/>
              <w:left w:val="nil"/>
              <w:bottom w:val="nil"/>
              <w:right w:val="nil"/>
            </w:tcBorders>
          </w:tcPr>
          <w:p w14:paraId="4CC6BE2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right"/>
              <w:textAlignment w:val="auto"/>
              <w:rPr>
                <w:rFonts w:ascii="Arial" w:hAnsi="Arial" w:cs="Arial"/>
                <w:color w:val="000000"/>
                <w:sz w:val="18"/>
                <w:szCs w:val="18"/>
                <w:lang w:val="en-GB"/>
              </w:rPr>
            </w:pPr>
          </w:p>
        </w:tc>
        <w:tc>
          <w:tcPr>
            <w:tcW w:w="1087" w:type="dxa"/>
            <w:tcBorders>
              <w:top w:val="nil"/>
              <w:left w:val="single" w:sz="12" w:space="0" w:color="auto"/>
              <w:bottom w:val="nil"/>
              <w:right w:val="nil"/>
            </w:tcBorders>
          </w:tcPr>
          <w:p w14:paraId="7F79180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Y</w:t>
            </w:r>
          </w:p>
        </w:tc>
        <w:tc>
          <w:tcPr>
            <w:tcW w:w="1087" w:type="dxa"/>
            <w:tcBorders>
              <w:top w:val="nil"/>
              <w:left w:val="nil"/>
              <w:bottom w:val="nil"/>
              <w:right w:val="nil"/>
            </w:tcBorders>
          </w:tcPr>
          <w:p w14:paraId="639BEA8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U</w:t>
            </w:r>
          </w:p>
        </w:tc>
        <w:tc>
          <w:tcPr>
            <w:tcW w:w="1088" w:type="dxa"/>
            <w:tcBorders>
              <w:top w:val="nil"/>
              <w:left w:val="nil"/>
              <w:bottom w:val="nil"/>
              <w:right w:val="single" w:sz="12" w:space="0" w:color="auto"/>
            </w:tcBorders>
          </w:tcPr>
          <w:p w14:paraId="6F8063F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V</w:t>
            </w:r>
          </w:p>
        </w:tc>
        <w:tc>
          <w:tcPr>
            <w:tcW w:w="1087" w:type="dxa"/>
            <w:tcBorders>
              <w:top w:val="nil"/>
              <w:left w:val="single" w:sz="12" w:space="0" w:color="auto"/>
              <w:bottom w:val="nil"/>
              <w:right w:val="nil"/>
            </w:tcBorders>
          </w:tcPr>
          <w:p w14:paraId="2B87629B"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Y</w:t>
            </w:r>
          </w:p>
        </w:tc>
        <w:tc>
          <w:tcPr>
            <w:tcW w:w="1087" w:type="dxa"/>
            <w:tcBorders>
              <w:top w:val="nil"/>
              <w:left w:val="nil"/>
              <w:bottom w:val="nil"/>
              <w:right w:val="nil"/>
            </w:tcBorders>
          </w:tcPr>
          <w:p w14:paraId="03DE9B9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U</w:t>
            </w:r>
          </w:p>
        </w:tc>
        <w:tc>
          <w:tcPr>
            <w:tcW w:w="1087" w:type="dxa"/>
            <w:tcBorders>
              <w:top w:val="nil"/>
              <w:left w:val="nil"/>
              <w:bottom w:val="nil"/>
              <w:right w:val="single" w:sz="12" w:space="0" w:color="auto"/>
            </w:tcBorders>
          </w:tcPr>
          <w:p w14:paraId="0E02D98D"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V</w:t>
            </w:r>
          </w:p>
        </w:tc>
      </w:tr>
      <w:tr w:rsidR="001B3859" w14:paraId="4D7FB23F" w14:textId="77777777" w:rsidTr="001B3859">
        <w:trPr>
          <w:trHeight w:val="252"/>
        </w:trPr>
        <w:tc>
          <w:tcPr>
            <w:tcW w:w="1332" w:type="dxa"/>
            <w:tcBorders>
              <w:top w:val="single" w:sz="12" w:space="0" w:color="auto"/>
              <w:left w:val="single" w:sz="12" w:space="0" w:color="auto"/>
              <w:bottom w:val="nil"/>
              <w:right w:val="single" w:sz="12" w:space="0" w:color="auto"/>
            </w:tcBorders>
          </w:tcPr>
          <w:p w14:paraId="00F8A00F"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Class A1</w:t>
            </w:r>
          </w:p>
        </w:tc>
        <w:tc>
          <w:tcPr>
            <w:tcW w:w="1087" w:type="dxa"/>
            <w:tcBorders>
              <w:top w:val="single" w:sz="12" w:space="0" w:color="auto"/>
              <w:left w:val="single" w:sz="12" w:space="0" w:color="auto"/>
              <w:bottom w:val="nil"/>
              <w:right w:val="nil"/>
            </w:tcBorders>
          </w:tcPr>
          <w:p w14:paraId="5D212235"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nil"/>
            </w:tcBorders>
          </w:tcPr>
          <w:p w14:paraId="5B2A456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single" w:sz="12" w:space="0" w:color="auto"/>
              <w:left w:val="nil"/>
              <w:bottom w:val="nil"/>
              <w:right w:val="single" w:sz="12" w:space="0" w:color="auto"/>
            </w:tcBorders>
          </w:tcPr>
          <w:p w14:paraId="7FB4CF1D"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0.1%</w:t>
            </w:r>
          </w:p>
        </w:tc>
        <w:tc>
          <w:tcPr>
            <w:tcW w:w="1087" w:type="dxa"/>
            <w:tcBorders>
              <w:top w:val="single" w:sz="12" w:space="0" w:color="auto"/>
              <w:left w:val="single" w:sz="12" w:space="0" w:color="auto"/>
              <w:bottom w:val="nil"/>
              <w:right w:val="nil"/>
            </w:tcBorders>
          </w:tcPr>
          <w:p w14:paraId="567A77CE"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nil"/>
            </w:tcBorders>
          </w:tcPr>
          <w:p w14:paraId="335305CF"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single" w:sz="12" w:space="0" w:color="auto"/>
            </w:tcBorders>
          </w:tcPr>
          <w:p w14:paraId="1312A63A"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r>
      <w:tr w:rsidR="001B3859" w14:paraId="0F389748" w14:textId="77777777" w:rsidTr="001B3859">
        <w:trPr>
          <w:trHeight w:val="238"/>
        </w:trPr>
        <w:tc>
          <w:tcPr>
            <w:tcW w:w="1332" w:type="dxa"/>
            <w:tcBorders>
              <w:top w:val="nil"/>
              <w:left w:val="single" w:sz="12" w:space="0" w:color="auto"/>
              <w:bottom w:val="nil"/>
              <w:right w:val="single" w:sz="12" w:space="0" w:color="auto"/>
            </w:tcBorders>
          </w:tcPr>
          <w:p w14:paraId="36E5F70D"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Class A2</w:t>
            </w:r>
          </w:p>
        </w:tc>
        <w:tc>
          <w:tcPr>
            <w:tcW w:w="1087" w:type="dxa"/>
            <w:tcBorders>
              <w:top w:val="nil"/>
              <w:left w:val="single" w:sz="12" w:space="0" w:color="auto"/>
              <w:bottom w:val="nil"/>
              <w:right w:val="nil"/>
            </w:tcBorders>
          </w:tcPr>
          <w:p w14:paraId="2F43713C"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nil"/>
            </w:tcBorders>
          </w:tcPr>
          <w:p w14:paraId="495BD786"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nil"/>
              <w:left w:val="nil"/>
              <w:bottom w:val="nil"/>
              <w:right w:val="single" w:sz="12" w:space="0" w:color="auto"/>
            </w:tcBorders>
          </w:tcPr>
          <w:p w14:paraId="63680984"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single" w:sz="12" w:space="0" w:color="auto"/>
              <w:bottom w:val="nil"/>
              <w:right w:val="nil"/>
            </w:tcBorders>
          </w:tcPr>
          <w:p w14:paraId="294204FD"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nil"/>
            </w:tcBorders>
          </w:tcPr>
          <w:p w14:paraId="64C6374C"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single" w:sz="12" w:space="0" w:color="auto"/>
            </w:tcBorders>
          </w:tcPr>
          <w:p w14:paraId="2344533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r>
      <w:tr w:rsidR="001B3859" w14:paraId="47A7528D" w14:textId="77777777" w:rsidTr="001B3859">
        <w:trPr>
          <w:trHeight w:val="238"/>
        </w:trPr>
        <w:tc>
          <w:tcPr>
            <w:tcW w:w="1332" w:type="dxa"/>
            <w:tcBorders>
              <w:top w:val="nil"/>
              <w:left w:val="single" w:sz="12" w:space="0" w:color="auto"/>
              <w:bottom w:val="nil"/>
              <w:right w:val="single" w:sz="12" w:space="0" w:color="auto"/>
            </w:tcBorders>
          </w:tcPr>
          <w:p w14:paraId="0910712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Class B</w:t>
            </w:r>
          </w:p>
        </w:tc>
        <w:tc>
          <w:tcPr>
            <w:tcW w:w="1087" w:type="dxa"/>
            <w:tcBorders>
              <w:top w:val="nil"/>
              <w:left w:val="single" w:sz="12" w:space="0" w:color="auto"/>
              <w:bottom w:val="nil"/>
              <w:right w:val="nil"/>
            </w:tcBorders>
          </w:tcPr>
          <w:p w14:paraId="56D1063C"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nil"/>
            </w:tcBorders>
          </w:tcPr>
          <w:p w14:paraId="2BE90051"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nil"/>
              <w:left w:val="nil"/>
              <w:bottom w:val="nil"/>
              <w:right w:val="single" w:sz="12" w:space="0" w:color="auto"/>
            </w:tcBorders>
          </w:tcPr>
          <w:p w14:paraId="24BDF91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single" w:sz="12" w:space="0" w:color="auto"/>
              <w:bottom w:val="nil"/>
              <w:right w:val="nil"/>
            </w:tcBorders>
          </w:tcPr>
          <w:p w14:paraId="2708F29E"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nil"/>
            </w:tcBorders>
          </w:tcPr>
          <w:p w14:paraId="1D507164"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single" w:sz="12" w:space="0" w:color="auto"/>
            </w:tcBorders>
          </w:tcPr>
          <w:p w14:paraId="321AC29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r>
      <w:tr w:rsidR="001B3859" w14:paraId="32C75004" w14:textId="77777777" w:rsidTr="001B3859">
        <w:trPr>
          <w:trHeight w:val="238"/>
        </w:trPr>
        <w:tc>
          <w:tcPr>
            <w:tcW w:w="1332" w:type="dxa"/>
            <w:tcBorders>
              <w:top w:val="nil"/>
              <w:left w:val="single" w:sz="12" w:space="0" w:color="auto"/>
              <w:bottom w:val="nil"/>
              <w:right w:val="single" w:sz="12" w:space="0" w:color="auto"/>
            </w:tcBorders>
          </w:tcPr>
          <w:p w14:paraId="7916BA3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Class C</w:t>
            </w:r>
          </w:p>
        </w:tc>
        <w:tc>
          <w:tcPr>
            <w:tcW w:w="1087" w:type="dxa"/>
            <w:tcBorders>
              <w:top w:val="nil"/>
              <w:left w:val="single" w:sz="12" w:space="0" w:color="auto"/>
              <w:bottom w:val="nil"/>
              <w:right w:val="nil"/>
            </w:tcBorders>
          </w:tcPr>
          <w:p w14:paraId="77F1FB3C"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nil"/>
            </w:tcBorders>
          </w:tcPr>
          <w:p w14:paraId="19401C5E"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nil"/>
              <w:left w:val="nil"/>
              <w:bottom w:val="nil"/>
              <w:right w:val="single" w:sz="12" w:space="0" w:color="auto"/>
            </w:tcBorders>
          </w:tcPr>
          <w:p w14:paraId="4B8D0775"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0.1%</w:t>
            </w:r>
          </w:p>
        </w:tc>
        <w:tc>
          <w:tcPr>
            <w:tcW w:w="1087" w:type="dxa"/>
            <w:tcBorders>
              <w:top w:val="nil"/>
              <w:left w:val="single" w:sz="12" w:space="0" w:color="auto"/>
              <w:bottom w:val="nil"/>
              <w:right w:val="nil"/>
            </w:tcBorders>
          </w:tcPr>
          <w:p w14:paraId="7C63EE04"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nil"/>
            </w:tcBorders>
          </w:tcPr>
          <w:p w14:paraId="20AEF97B"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single" w:sz="12" w:space="0" w:color="auto"/>
            </w:tcBorders>
          </w:tcPr>
          <w:p w14:paraId="73A5980E"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r>
      <w:tr w:rsidR="001B3859" w14:paraId="3AA96B3F" w14:textId="77777777" w:rsidTr="001B3859">
        <w:trPr>
          <w:trHeight w:val="252"/>
        </w:trPr>
        <w:tc>
          <w:tcPr>
            <w:tcW w:w="1332" w:type="dxa"/>
            <w:tcBorders>
              <w:top w:val="nil"/>
              <w:left w:val="single" w:sz="12" w:space="0" w:color="auto"/>
              <w:bottom w:val="nil"/>
              <w:right w:val="single" w:sz="12" w:space="0" w:color="auto"/>
            </w:tcBorders>
          </w:tcPr>
          <w:p w14:paraId="235577E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Class E</w:t>
            </w:r>
          </w:p>
        </w:tc>
        <w:tc>
          <w:tcPr>
            <w:tcW w:w="1087" w:type="dxa"/>
            <w:tcBorders>
              <w:top w:val="nil"/>
              <w:left w:val="single" w:sz="12" w:space="0" w:color="auto"/>
              <w:bottom w:val="nil"/>
              <w:right w:val="nil"/>
            </w:tcBorders>
            <w:shd w:val="solid" w:color="C0C0C0" w:fill="auto"/>
          </w:tcPr>
          <w:p w14:paraId="20E5B994"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p>
        </w:tc>
        <w:tc>
          <w:tcPr>
            <w:tcW w:w="1087" w:type="dxa"/>
            <w:tcBorders>
              <w:top w:val="nil"/>
              <w:left w:val="nil"/>
              <w:bottom w:val="nil"/>
              <w:right w:val="nil"/>
            </w:tcBorders>
            <w:shd w:val="solid" w:color="C0C0C0" w:fill="auto"/>
          </w:tcPr>
          <w:p w14:paraId="280D226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p>
        </w:tc>
        <w:tc>
          <w:tcPr>
            <w:tcW w:w="1088" w:type="dxa"/>
            <w:tcBorders>
              <w:top w:val="nil"/>
              <w:left w:val="nil"/>
              <w:bottom w:val="nil"/>
              <w:right w:val="single" w:sz="12" w:space="0" w:color="auto"/>
            </w:tcBorders>
            <w:shd w:val="solid" w:color="C0C0C0" w:fill="auto"/>
          </w:tcPr>
          <w:p w14:paraId="1AECC53F"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p>
        </w:tc>
        <w:tc>
          <w:tcPr>
            <w:tcW w:w="1087" w:type="dxa"/>
            <w:tcBorders>
              <w:top w:val="nil"/>
              <w:left w:val="single" w:sz="12" w:space="0" w:color="auto"/>
              <w:bottom w:val="nil"/>
              <w:right w:val="nil"/>
            </w:tcBorders>
            <w:shd w:val="solid" w:color="C0C0C0" w:fill="auto"/>
          </w:tcPr>
          <w:p w14:paraId="0857CBD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p>
        </w:tc>
        <w:tc>
          <w:tcPr>
            <w:tcW w:w="1087" w:type="dxa"/>
            <w:tcBorders>
              <w:top w:val="nil"/>
              <w:left w:val="nil"/>
              <w:bottom w:val="nil"/>
              <w:right w:val="nil"/>
            </w:tcBorders>
            <w:shd w:val="solid" w:color="C0C0C0" w:fill="auto"/>
          </w:tcPr>
          <w:p w14:paraId="2B33DBA9"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p>
        </w:tc>
        <w:tc>
          <w:tcPr>
            <w:tcW w:w="1087" w:type="dxa"/>
            <w:tcBorders>
              <w:top w:val="nil"/>
              <w:left w:val="nil"/>
              <w:bottom w:val="nil"/>
              <w:right w:val="single" w:sz="12" w:space="0" w:color="auto"/>
            </w:tcBorders>
            <w:shd w:val="solid" w:color="C0C0C0" w:fill="auto"/>
          </w:tcPr>
          <w:p w14:paraId="7F7EB317"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p>
        </w:tc>
      </w:tr>
      <w:tr w:rsidR="001B3859" w14:paraId="37986BF9" w14:textId="77777777" w:rsidTr="001B3859">
        <w:trPr>
          <w:trHeight w:val="238"/>
        </w:trPr>
        <w:tc>
          <w:tcPr>
            <w:tcW w:w="1332" w:type="dxa"/>
            <w:tcBorders>
              <w:top w:val="single" w:sz="12" w:space="0" w:color="auto"/>
              <w:left w:val="single" w:sz="12" w:space="0" w:color="auto"/>
              <w:bottom w:val="nil"/>
              <w:right w:val="single" w:sz="12" w:space="0" w:color="auto"/>
            </w:tcBorders>
          </w:tcPr>
          <w:p w14:paraId="10842D5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b/>
                <w:bCs/>
                <w:color w:val="000000"/>
                <w:sz w:val="18"/>
                <w:szCs w:val="18"/>
                <w:lang w:val="en-GB"/>
              </w:rPr>
            </w:pPr>
            <w:r>
              <w:rPr>
                <w:rFonts w:ascii="Arial" w:hAnsi="Arial" w:cs="Arial"/>
                <w:b/>
                <w:bCs/>
                <w:color w:val="000000"/>
                <w:sz w:val="18"/>
                <w:szCs w:val="18"/>
                <w:lang w:val="en-GB"/>
              </w:rPr>
              <w:t>Overall</w:t>
            </w:r>
          </w:p>
        </w:tc>
        <w:tc>
          <w:tcPr>
            <w:tcW w:w="1087" w:type="dxa"/>
            <w:tcBorders>
              <w:top w:val="single" w:sz="12" w:space="0" w:color="auto"/>
              <w:left w:val="nil"/>
              <w:bottom w:val="nil"/>
              <w:right w:val="nil"/>
            </w:tcBorders>
          </w:tcPr>
          <w:p w14:paraId="39CB9009"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nil"/>
            </w:tcBorders>
          </w:tcPr>
          <w:p w14:paraId="51617CAA"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single" w:sz="12" w:space="0" w:color="auto"/>
              <w:left w:val="nil"/>
              <w:bottom w:val="nil"/>
              <w:right w:val="single" w:sz="12" w:space="0" w:color="auto"/>
            </w:tcBorders>
          </w:tcPr>
          <w:p w14:paraId="23F865F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nil"/>
            </w:tcBorders>
          </w:tcPr>
          <w:p w14:paraId="0B6C9744"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nil"/>
            </w:tcBorders>
          </w:tcPr>
          <w:p w14:paraId="5FF3B9B5"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single" w:sz="12" w:space="0" w:color="auto"/>
            </w:tcBorders>
          </w:tcPr>
          <w:p w14:paraId="242842D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r>
      <w:tr w:rsidR="001B3859" w14:paraId="41BB2E5E" w14:textId="77777777" w:rsidTr="001B3859">
        <w:trPr>
          <w:trHeight w:val="252"/>
        </w:trPr>
        <w:tc>
          <w:tcPr>
            <w:tcW w:w="1332" w:type="dxa"/>
            <w:tcBorders>
              <w:top w:val="nil"/>
              <w:left w:val="single" w:sz="12" w:space="0" w:color="auto"/>
              <w:bottom w:val="single" w:sz="12" w:space="0" w:color="auto"/>
              <w:right w:val="single" w:sz="12" w:space="0" w:color="auto"/>
            </w:tcBorders>
          </w:tcPr>
          <w:p w14:paraId="6D7308B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right"/>
              <w:textAlignment w:val="auto"/>
              <w:rPr>
                <w:rFonts w:ascii="Arial" w:hAnsi="Arial" w:cs="Arial"/>
                <w:color w:val="000000"/>
                <w:sz w:val="18"/>
                <w:szCs w:val="18"/>
                <w:lang w:val="en-GB"/>
              </w:rPr>
            </w:pPr>
          </w:p>
        </w:tc>
        <w:tc>
          <w:tcPr>
            <w:tcW w:w="1087" w:type="dxa"/>
            <w:tcBorders>
              <w:top w:val="nil"/>
              <w:left w:val="nil"/>
              <w:bottom w:val="single" w:sz="12" w:space="0" w:color="auto"/>
              <w:right w:val="nil"/>
            </w:tcBorders>
          </w:tcPr>
          <w:p w14:paraId="71217B50"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808080"/>
                <w:sz w:val="18"/>
                <w:szCs w:val="18"/>
                <w:lang w:val="en-GB"/>
              </w:rPr>
            </w:pPr>
            <w:r>
              <w:rPr>
                <w:rFonts w:ascii="Arial" w:hAnsi="Arial" w:cs="Arial"/>
                <w:color w:val="808080"/>
                <w:sz w:val="18"/>
                <w:szCs w:val="18"/>
                <w:lang w:val="en-GB"/>
              </w:rPr>
              <w:t>0.0%</w:t>
            </w:r>
          </w:p>
        </w:tc>
        <w:tc>
          <w:tcPr>
            <w:tcW w:w="1087" w:type="dxa"/>
            <w:tcBorders>
              <w:top w:val="nil"/>
              <w:left w:val="nil"/>
              <w:bottom w:val="single" w:sz="12" w:space="0" w:color="auto"/>
              <w:right w:val="nil"/>
            </w:tcBorders>
          </w:tcPr>
          <w:p w14:paraId="2C84A69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808080"/>
                <w:sz w:val="18"/>
                <w:szCs w:val="18"/>
                <w:lang w:val="en-GB"/>
              </w:rPr>
            </w:pPr>
            <w:r>
              <w:rPr>
                <w:rFonts w:ascii="Arial" w:hAnsi="Arial" w:cs="Arial"/>
                <w:color w:val="808080"/>
                <w:sz w:val="18"/>
                <w:szCs w:val="18"/>
                <w:lang w:val="en-GB"/>
              </w:rPr>
              <w:t>0.0%</w:t>
            </w:r>
          </w:p>
        </w:tc>
        <w:tc>
          <w:tcPr>
            <w:tcW w:w="1088" w:type="dxa"/>
            <w:tcBorders>
              <w:top w:val="nil"/>
              <w:left w:val="nil"/>
              <w:bottom w:val="single" w:sz="12" w:space="0" w:color="auto"/>
              <w:right w:val="single" w:sz="12" w:space="0" w:color="auto"/>
            </w:tcBorders>
          </w:tcPr>
          <w:p w14:paraId="77F70847"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808080"/>
                <w:sz w:val="18"/>
                <w:szCs w:val="18"/>
                <w:lang w:val="en-GB"/>
              </w:rPr>
            </w:pPr>
            <w:r>
              <w:rPr>
                <w:rFonts w:ascii="Arial" w:hAnsi="Arial" w:cs="Arial"/>
                <w:color w:val="808080"/>
                <w:sz w:val="18"/>
                <w:szCs w:val="18"/>
                <w:lang w:val="en-GB"/>
              </w:rPr>
              <w:t>0.0%</w:t>
            </w:r>
          </w:p>
        </w:tc>
        <w:tc>
          <w:tcPr>
            <w:tcW w:w="1087" w:type="dxa"/>
            <w:tcBorders>
              <w:top w:val="nil"/>
              <w:left w:val="nil"/>
              <w:bottom w:val="single" w:sz="12" w:space="0" w:color="auto"/>
              <w:right w:val="nil"/>
            </w:tcBorders>
          </w:tcPr>
          <w:p w14:paraId="5B05727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808080"/>
                <w:sz w:val="18"/>
                <w:szCs w:val="18"/>
                <w:lang w:val="en-GB"/>
              </w:rPr>
            </w:pPr>
            <w:r>
              <w:rPr>
                <w:rFonts w:ascii="Arial" w:hAnsi="Arial" w:cs="Arial"/>
                <w:color w:val="808080"/>
                <w:sz w:val="18"/>
                <w:szCs w:val="18"/>
                <w:lang w:val="en-GB"/>
              </w:rPr>
              <w:t>0.0%</w:t>
            </w:r>
          </w:p>
        </w:tc>
        <w:tc>
          <w:tcPr>
            <w:tcW w:w="1087" w:type="dxa"/>
            <w:tcBorders>
              <w:top w:val="nil"/>
              <w:left w:val="nil"/>
              <w:bottom w:val="single" w:sz="12" w:space="0" w:color="auto"/>
              <w:right w:val="nil"/>
            </w:tcBorders>
          </w:tcPr>
          <w:p w14:paraId="7B04538E"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808080"/>
                <w:sz w:val="18"/>
                <w:szCs w:val="18"/>
                <w:lang w:val="en-GB"/>
              </w:rPr>
            </w:pPr>
            <w:r>
              <w:rPr>
                <w:rFonts w:ascii="Arial" w:hAnsi="Arial" w:cs="Arial"/>
                <w:color w:val="808080"/>
                <w:sz w:val="18"/>
                <w:szCs w:val="18"/>
                <w:lang w:val="en-GB"/>
              </w:rPr>
              <w:t>0.0%</w:t>
            </w:r>
          </w:p>
        </w:tc>
        <w:tc>
          <w:tcPr>
            <w:tcW w:w="1087" w:type="dxa"/>
            <w:tcBorders>
              <w:top w:val="nil"/>
              <w:left w:val="nil"/>
              <w:bottom w:val="single" w:sz="12" w:space="0" w:color="auto"/>
              <w:right w:val="single" w:sz="12" w:space="0" w:color="auto"/>
            </w:tcBorders>
          </w:tcPr>
          <w:p w14:paraId="70066E1C"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808080"/>
                <w:sz w:val="18"/>
                <w:szCs w:val="18"/>
                <w:lang w:val="en-GB"/>
              </w:rPr>
            </w:pPr>
            <w:r>
              <w:rPr>
                <w:rFonts w:ascii="Arial" w:hAnsi="Arial" w:cs="Arial"/>
                <w:color w:val="808080"/>
                <w:sz w:val="18"/>
                <w:szCs w:val="18"/>
                <w:lang w:val="en-GB"/>
              </w:rPr>
              <w:t>0.0%</w:t>
            </w:r>
          </w:p>
        </w:tc>
      </w:tr>
      <w:tr w:rsidR="001B3859" w14:paraId="4047A58D" w14:textId="77777777" w:rsidTr="001B3859">
        <w:trPr>
          <w:trHeight w:val="252"/>
        </w:trPr>
        <w:tc>
          <w:tcPr>
            <w:tcW w:w="1332" w:type="dxa"/>
            <w:tcBorders>
              <w:top w:val="single" w:sz="12" w:space="0" w:color="auto"/>
              <w:left w:val="single" w:sz="12" w:space="0" w:color="auto"/>
              <w:bottom w:val="nil"/>
              <w:right w:val="single" w:sz="12" w:space="0" w:color="auto"/>
            </w:tcBorders>
          </w:tcPr>
          <w:p w14:paraId="44EEB247"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Class D</w:t>
            </w:r>
          </w:p>
        </w:tc>
        <w:tc>
          <w:tcPr>
            <w:tcW w:w="1087" w:type="dxa"/>
            <w:tcBorders>
              <w:top w:val="single" w:sz="12" w:space="0" w:color="auto"/>
              <w:left w:val="single" w:sz="12" w:space="0" w:color="auto"/>
              <w:bottom w:val="nil"/>
              <w:right w:val="nil"/>
            </w:tcBorders>
          </w:tcPr>
          <w:p w14:paraId="143A1760"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nil"/>
            </w:tcBorders>
          </w:tcPr>
          <w:p w14:paraId="139F7F97"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single" w:sz="12" w:space="0" w:color="auto"/>
              <w:left w:val="nil"/>
              <w:bottom w:val="nil"/>
              <w:right w:val="single" w:sz="12" w:space="0" w:color="auto"/>
            </w:tcBorders>
          </w:tcPr>
          <w:p w14:paraId="68EE82CB"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0.1%</w:t>
            </w:r>
          </w:p>
        </w:tc>
        <w:tc>
          <w:tcPr>
            <w:tcW w:w="1087" w:type="dxa"/>
            <w:tcBorders>
              <w:top w:val="single" w:sz="12" w:space="0" w:color="auto"/>
              <w:left w:val="single" w:sz="12" w:space="0" w:color="auto"/>
              <w:bottom w:val="nil"/>
              <w:right w:val="nil"/>
            </w:tcBorders>
          </w:tcPr>
          <w:p w14:paraId="211C95C4"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nil"/>
            </w:tcBorders>
          </w:tcPr>
          <w:p w14:paraId="60AA48E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0.1%</w:t>
            </w:r>
          </w:p>
        </w:tc>
        <w:tc>
          <w:tcPr>
            <w:tcW w:w="1087" w:type="dxa"/>
            <w:tcBorders>
              <w:top w:val="single" w:sz="12" w:space="0" w:color="auto"/>
              <w:left w:val="nil"/>
              <w:bottom w:val="nil"/>
              <w:right w:val="single" w:sz="12" w:space="0" w:color="auto"/>
            </w:tcBorders>
          </w:tcPr>
          <w:p w14:paraId="7FBAE74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-0.1%</w:t>
            </w:r>
          </w:p>
        </w:tc>
      </w:tr>
      <w:tr w:rsidR="001B3859" w14:paraId="7F37C32E" w14:textId="77777777" w:rsidTr="001B3859">
        <w:trPr>
          <w:trHeight w:val="252"/>
        </w:trPr>
        <w:tc>
          <w:tcPr>
            <w:tcW w:w="1332" w:type="dxa"/>
            <w:tcBorders>
              <w:top w:val="nil"/>
              <w:left w:val="single" w:sz="12" w:space="0" w:color="auto"/>
              <w:bottom w:val="single" w:sz="12" w:space="0" w:color="auto"/>
              <w:right w:val="single" w:sz="12" w:space="0" w:color="auto"/>
            </w:tcBorders>
          </w:tcPr>
          <w:p w14:paraId="17A6D76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Class F</w:t>
            </w:r>
          </w:p>
        </w:tc>
        <w:tc>
          <w:tcPr>
            <w:tcW w:w="1087" w:type="dxa"/>
            <w:tcBorders>
              <w:top w:val="nil"/>
              <w:left w:val="single" w:sz="12" w:space="0" w:color="auto"/>
              <w:bottom w:val="single" w:sz="12" w:space="0" w:color="auto"/>
              <w:right w:val="nil"/>
            </w:tcBorders>
          </w:tcPr>
          <w:p w14:paraId="76A1972D"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single" w:sz="12" w:space="0" w:color="auto"/>
              <w:right w:val="nil"/>
            </w:tcBorders>
          </w:tcPr>
          <w:p w14:paraId="30318B9D"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nil"/>
              <w:left w:val="nil"/>
              <w:bottom w:val="single" w:sz="12" w:space="0" w:color="auto"/>
              <w:right w:val="single" w:sz="12" w:space="0" w:color="auto"/>
            </w:tcBorders>
          </w:tcPr>
          <w:p w14:paraId="77C5E005"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single" w:sz="12" w:space="0" w:color="auto"/>
              <w:bottom w:val="single" w:sz="12" w:space="0" w:color="auto"/>
              <w:right w:val="nil"/>
            </w:tcBorders>
          </w:tcPr>
          <w:p w14:paraId="7D3025C9"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single" w:sz="12" w:space="0" w:color="auto"/>
              <w:right w:val="nil"/>
            </w:tcBorders>
          </w:tcPr>
          <w:p w14:paraId="3B26878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single" w:sz="12" w:space="0" w:color="auto"/>
              <w:right w:val="single" w:sz="12" w:space="0" w:color="auto"/>
            </w:tcBorders>
          </w:tcPr>
          <w:p w14:paraId="502A3B74"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r>
      <w:tr w:rsidR="001B3859" w14:paraId="76DEC521" w14:textId="77777777" w:rsidTr="00EC2D35">
        <w:trPr>
          <w:trHeight w:val="238"/>
        </w:trPr>
        <w:tc>
          <w:tcPr>
            <w:tcW w:w="1332" w:type="dxa"/>
            <w:tcBorders>
              <w:top w:val="nil"/>
              <w:left w:val="single" w:sz="12" w:space="0" w:color="auto"/>
              <w:bottom w:val="nil"/>
              <w:right w:val="single" w:sz="12" w:space="0" w:color="auto"/>
            </w:tcBorders>
          </w:tcPr>
          <w:p w14:paraId="1947A716"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Enc Time[%]</w:t>
            </w:r>
          </w:p>
        </w:tc>
        <w:tc>
          <w:tcPr>
            <w:tcW w:w="3262" w:type="dxa"/>
            <w:gridSpan w:val="3"/>
            <w:tcBorders>
              <w:top w:val="single" w:sz="12" w:space="0" w:color="auto"/>
              <w:left w:val="single" w:sz="12" w:space="0" w:color="auto"/>
              <w:bottom w:val="nil"/>
              <w:right w:val="single" w:sz="12" w:space="0" w:color="auto"/>
            </w:tcBorders>
          </w:tcPr>
          <w:p w14:paraId="12A808B2" w14:textId="79099C43"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101%</w:t>
            </w:r>
          </w:p>
        </w:tc>
        <w:tc>
          <w:tcPr>
            <w:tcW w:w="3261" w:type="dxa"/>
            <w:gridSpan w:val="3"/>
            <w:tcBorders>
              <w:top w:val="single" w:sz="12" w:space="0" w:color="auto"/>
              <w:left w:val="single" w:sz="12" w:space="0" w:color="auto"/>
              <w:bottom w:val="nil"/>
              <w:right w:val="single" w:sz="12" w:space="0" w:color="auto"/>
            </w:tcBorders>
          </w:tcPr>
          <w:p w14:paraId="24F21A11" w14:textId="17F06DB3"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100%</w:t>
            </w:r>
          </w:p>
        </w:tc>
      </w:tr>
      <w:tr w:rsidR="001B3859" w14:paraId="468F4A32" w14:textId="77777777" w:rsidTr="00D11CF0">
        <w:trPr>
          <w:trHeight w:val="252"/>
        </w:trPr>
        <w:tc>
          <w:tcPr>
            <w:tcW w:w="1332" w:type="dxa"/>
            <w:tcBorders>
              <w:top w:val="nil"/>
              <w:left w:val="single" w:sz="12" w:space="0" w:color="auto"/>
              <w:bottom w:val="single" w:sz="12" w:space="0" w:color="auto"/>
              <w:right w:val="single" w:sz="12" w:space="0" w:color="auto"/>
            </w:tcBorders>
          </w:tcPr>
          <w:p w14:paraId="5B3D83B7"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Dec Time[%]</w:t>
            </w:r>
          </w:p>
        </w:tc>
        <w:tc>
          <w:tcPr>
            <w:tcW w:w="3262" w:type="dxa"/>
            <w:gridSpan w:val="3"/>
            <w:tcBorders>
              <w:top w:val="nil"/>
              <w:left w:val="single" w:sz="12" w:space="0" w:color="auto"/>
              <w:bottom w:val="single" w:sz="12" w:space="0" w:color="auto"/>
              <w:right w:val="single" w:sz="12" w:space="0" w:color="auto"/>
            </w:tcBorders>
          </w:tcPr>
          <w:p w14:paraId="0DE518C3" w14:textId="2B3EB68B"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100%</w:t>
            </w:r>
          </w:p>
        </w:tc>
        <w:tc>
          <w:tcPr>
            <w:tcW w:w="3261" w:type="dxa"/>
            <w:gridSpan w:val="3"/>
            <w:tcBorders>
              <w:top w:val="nil"/>
              <w:left w:val="single" w:sz="12" w:space="0" w:color="auto"/>
              <w:bottom w:val="single" w:sz="12" w:space="0" w:color="auto"/>
              <w:right w:val="single" w:sz="12" w:space="0" w:color="auto"/>
            </w:tcBorders>
          </w:tcPr>
          <w:p w14:paraId="323F6EED" w14:textId="4A7FCA24"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99%</w:t>
            </w:r>
          </w:p>
        </w:tc>
      </w:tr>
    </w:tbl>
    <w:p w14:paraId="6F19A2EB" w14:textId="125F2FDB" w:rsidR="001B3859" w:rsidRPr="001B3859" w:rsidRDefault="001B3859" w:rsidP="001B3859">
      <w:pPr>
        <w:rPr>
          <w:lang w:val="en-CA"/>
        </w:rPr>
      </w:pPr>
    </w:p>
    <w:p w14:paraId="7685C8C9" w14:textId="09ADB8B7" w:rsidR="001B3859" w:rsidRDefault="001B3859" w:rsidP="001B3859">
      <w:pPr>
        <w:pStyle w:val="Heading2"/>
        <w:rPr>
          <w:lang w:val="en-CA"/>
        </w:rPr>
      </w:pPr>
      <w:r>
        <w:rPr>
          <w:lang w:val="en-CA"/>
        </w:rPr>
        <w:t>RExt results</w:t>
      </w:r>
    </w:p>
    <w:p w14:paraId="43B173A1" w14:textId="77777777" w:rsidR="001B3859" w:rsidRDefault="001B3859" w:rsidP="001C4082">
      <w:pPr>
        <w:rPr>
          <w:lang w:val="en-CA"/>
        </w:rPr>
      </w:pPr>
    </w:p>
    <w:tbl>
      <w:tblPr>
        <w:tblW w:w="0" w:type="auto"/>
        <w:tblInd w:w="78" w:type="dxa"/>
        <w:tblLayout w:type="fixed"/>
        <w:tblLook w:val="0000" w:firstRow="0" w:lastRow="0" w:firstColumn="0" w:lastColumn="0" w:noHBand="0" w:noVBand="0"/>
      </w:tblPr>
      <w:tblGrid>
        <w:gridCol w:w="1423"/>
        <w:gridCol w:w="1087"/>
        <w:gridCol w:w="1088"/>
        <w:gridCol w:w="1087"/>
        <w:gridCol w:w="1087"/>
        <w:gridCol w:w="1087"/>
        <w:gridCol w:w="1087"/>
      </w:tblGrid>
      <w:tr w:rsidR="001B3859" w14:paraId="334FEF19" w14:textId="77777777" w:rsidTr="00771F14">
        <w:trPr>
          <w:trHeight w:val="238"/>
        </w:trPr>
        <w:tc>
          <w:tcPr>
            <w:tcW w:w="1423" w:type="dxa"/>
            <w:tcBorders>
              <w:top w:val="nil"/>
              <w:left w:val="nil"/>
              <w:bottom w:val="nil"/>
              <w:right w:val="nil"/>
            </w:tcBorders>
          </w:tcPr>
          <w:p w14:paraId="74AE0B9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right"/>
              <w:textAlignment w:val="auto"/>
              <w:rPr>
                <w:rFonts w:ascii="Arial" w:hAnsi="Arial" w:cs="Arial"/>
                <w:color w:val="000000"/>
                <w:sz w:val="18"/>
                <w:szCs w:val="18"/>
                <w:lang w:val="en-GB"/>
              </w:rPr>
            </w:pPr>
          </w:p>
        </w:tc>
        <w:tc>
          <w:tcPr>
            <w:tcW w:w="3262" w:type="dxa"/>
            <w:gridSpan w:val="3"/>
            <w:tcBorders>
              <w:top w:val="single" w:sz="12" w:space="0" w:color="auto"/>
              <w:left w:val="single" w:sz="12" w:space="0" w:color="auto"/>
              <w:bottom w:val="nil"/>
              <w:right w:val="single" w:sz="12" w:space="0" w:color="auto"/>
            </w:tcBorders>
          </w:tcPr>
          <w:p w14:paraId="53FFC81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b/>
                <w:bCs/>
                <w:color w:val="000000"/>
                <w:sz w:val="18"/>
                <w:szCs w:val="18"/>
                <w:lang w:val="en-GB"/>
              </w:rPr>
            </w:pPr>
            <w:r>
              <w:rPr>
                <w:rFonts w:ascii="Arial" w:hAnsi="Arial" w:cs="Arial"/>
                <w:b/>
                <w:bCs/>
                <w:color w:val="000000"/>
                <w:sz w:val="18"/>
                <w:szCs w:val="18"/>
                <w:lang w:val="en-GB"/>
              </w:rPr>
              <w:t>Random Access Main-tier</w:t>
            </w:r>
          </w:p>
        </w:tc>
        <w:tc>
          <w:tcPr>
            <w:tcW w:w="3261" w:type="dxa"/>
            <w:gridSpan w:val="3"/>
            <w:tcBorders>
              <w:top w:val="single" w:sz="12" w:space="0" w:color="auto"/>
              <w:left w:val="single" w:sz="12" w:space="0" w:color="auto"/>
              <w:bottom w:val="nil"/>
              <w:right w:val="single" w:sz="12" w:space="0" w:color="auto"/>
            </w:tcBorders>
          </w:tcPr>
          <w:p w14:paraId="1F09CA10"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b/>
                <w:bCs/>
                <w:color w:val="000000"/>
                <w:sz w:val="18"/>
                <w:szCs w:val="18"/>
                <w:lang w:val="en-GB"/>
              </w:rPr>
            </w:pPr>
            <w:r>
              <w:rPr>
                <w:rFonts w:ascii="Arial" w:hAnsi="Arial" w:cs="Arial"/>
                <w:b/>
                <w:bCs/>
                <w:color w:val="000000"/>
                <w:sz w:val="18"/>
                <w:szCs w:val="18"/>
                <w:lang w:val="en-GB"/>
              </w:rPr>
              <w:t>Random Access High-tier</w:t>
            </w:r>
          </w:p>
        </w:tc>
      </w:tr>
      <w:tr w:rsidR="001B3859" w14:paraId="1B8A033A" w14:textId="77777777" w:rsidTr="001B3859">
        <w:trPr>
          <w:trHeight w:val="252"/>
        </w:trPr>
        <w:tc>
          <w:tcPr>
            <w:tcW w:w="1423" w:type="dxa"/>
            <w:tcBorders>
              <w:top w:val="nil"/>
              <w:left w:val="nil"/>
              <w:bottom w:val="nil"/>
              <w:right w:val="nil"/>
            </w:tcBorders>
          </w:tcPr>
          <w:p w14:paraId="1C9464BB"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right"/>
              <w:textAlignment w:val="auto"/>
              <w:rPr>
                <w:rFonts w:ascii="Arial" w:hAnsi="Arial" w:cs="Arial"/>
                <w:color w:val="000000"/>
                <w:sz w:val="18"/>
                <w:szCs w:val="18"/>
                <w:lang w:val="en-GB"/>
              </w:rPr>
            </w:pPr>
          </w:p>
        </w:tc>
        <w:tc>
          <w:tcPr>
            <w:tcW w:w="1087" w:type="dxa"/>
            <w:tcBorders>
              <w:top w:val="nil"/>
              <w:left w:val="single" w:sz="12" w:space="0" w:color="auto"/>
              <w:bottom w:val="nil"/>
              <w:right w:val="nil"/>
            </w:tcBorders>
          </w:tcPr>
          <w:p w14:paraId="03E91AD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Y</w:t>
            </w:r>
          </w:p>
        </w:tc>
        <w:tc>
          <w:tcPr>
            <w:tcW w:w="1088" w:type="dxa"/>
            <w:tcBorders>
              <w:top w:val="nil"/>
              <w:left w:val="nil"/>
              <w:bottom w:val="nil"/>
              <w:right w:val="nil"/>
            </w:tcBorders>
          </w:tcPr>
          <w:p w14:paraId="20B6CFAB"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U</w:t>
            </w:r>
          </w:p>
        </w:tc>
        <w:tc>
          <w:tcPr>
            <w:tcW w:w="1087" w:type="dxa"/>
            <w:tcBorders>
              <w:top w:val="nil"/>
              <w:left w:val="nil"/>
              <w:bottom w:val="nil"/>
              <w:right w:val="single" w:sz="12" w:space="0" w:color="auto"/>
            </w:tcBorders>
          </w:tcPr>
          <w:p w14:paraId="2049A3BF"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V</w:t>
            </w:r>
          </w:p>
        </w:tc>
        <w:tc>
          <w:tcPr>
            <w:tcW w:w="1087" w:type="dxa"/>
            <w:tcBorders>
              <w:top w:val="nil"/>
              <w:left w:val="single" w:sz="12" w:space="0" w:color="auto"/>
              <w:bottom w:val="nil"/>
              <w:right w:val="nil"/>
            </w:tcBorders>
          </w:tcPr>
          <w:p w14:paraId="441B9AF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Y</w:t>
            </w:r>
          </w:p>
        </w:tc>
        <w:tc>
          <w:tcPr>
            <w:tcW w:w="1087" w:type="dxa"/>
            <w:tcBorders>
              <w:top w:val="nil"/>
              <w:left w:val="nil"/>
              <w:bottom w:val="nil"/>
              <w:right w:val="nil"/>
            </w:tcBorders>
          </w:tcPr>
          <w:p w14:paraId="7214177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U</w:t>
            </w:r>
          </w:p>
        </w:tc>
        <w:tc>
          <w:tcPr>
            <w:tcW w:w="1087" w:type="dxa"/>
            <w:tcBorders>
              <w:top w:val="nil"/>
              <w:left w:val="nil"/>
              <w:bottom w:val="nil"/>
              <w:right w:val="single" w:sz="12" w:space="0" w:color="auto"/>
            </w:tcBorders>
          </w:tcPr>
          <w:p w14:paraId="07D54378"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V</w:t>
            </w:r>
          </w:p>
        </w:tc>
      </w:tr>
      <w:tr w:rsidR="001B3859" w14:paraId="616FA96D" w14:textId="77777777" w:rsidTr="001B3859">
        <w:trPr>
          <w:trHeight w:val="238"/>
        </w:trPr>
        <w:tc>
          <w:tcPr>
            <w:tcW w:w="1423" w:type="dxa"/>
            <w:tcBorders>
              <w:top w:val="single" w:sz="12" w:space="0" w:color="auto"/>
              <w:left w:val="single" w:sz="12" w:space="0" w:color="auto"/>
              <w:bottom w:val="nil"/>
              <w:right w:val="single" w:sz="12" w:space="0" w:color="auto"/>
            </w:tcBorders>
          </w:tcPr>
          <w:p w14:paraId="18AA7721"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RGB 4:4:4</w:t>
            </w:r>
          </w:p>
        </w:tc>
        <w:tc>
          <w:tcPr>
            <w:tcW w:w="1087" w:type="dxa"/>
            <w:tcBorders>
              <w:top w:val="single" w:sz="12" w:space="0" w:color="auto"/>
              <w:left w:val="single" w:sz="12" w:space="0" w:color="auto"/>
              <w:bottom w:val="nil"/>
              <w:right w:val="nil"/>
            </w:tcBorders>
          </w:tcPr>
          <w:p w14:paraId="5EA8E329"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single" w:sz="12" w:space="0" w:color="auto"/>
              <w:left w:val="nil"/>
              <w:bottom w:val="nil"/>
              <w:right w:val="nil"/>
            </w:tcBorders>
          </w:tcPr>
          <w:p w14:paraId="101F8240"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single" w:sz="12" w:space="0" w:color="auto"/>
            </w:tcBorders>
          </w:tcPr>
          <w:p w14:paraId="23D48960"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single" w:sz="12" w:space="0" w:color="auto"/>
              <w:bottom w:val="nil"/>
              <w:right w:val="nil"/>
            </w:tcBorders>
          </w:tcPr>
          <w:p w14:paraId="2BA6DD3A"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nil"/>
            </w:tcBorders>
          </w:tcPr>
          <w:p w14:paraId="3B81BA2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single" w:sz="12" w:space="0" w:color="auto"/>
              <w:left w:val="nil"/>
              <w:bottom w:val="nil"/>
              <w:right w:val="single" w:sz="12" w:space="0" w:color="auto"/>
            </w:tcBorders>
          </w:tcPr>
          <w:p w14:paraId="7ACE8FCD"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r>
      <w:tr w:rsidR="001B3859" w14:paraId="00717338" w14:textId="77777777" w:rsidTr="001B3859">
        <w:trPr>
          <w:trHeight w:val="252"/>
        </w:trPr>
        <w:tc>
          <w:tcPr>
            <w:tcW w:w="1423" w:type="dxa"/>
            <w:tcBorders>
              <w:top w:val="nil"/>
              <w:left w:val="single" w:sz="12" w:space="0" w:color="auto"/>
              <w:bottom w:val="nil"/>
              <w:right w:val="single" w:sz="12" w:space="0" w:color="auto"/>
            </w:tcBorders>
          </w:tcPr>
          <w:p w14:paraId="13C3A17A"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YCbCr 4:4:4</w:t>
            </w:r>
          </w:p>
        </w:tc>
        <w:tc>
          <w:tcPr>
            <w:tcW w:w="1087" w:type="dxa"/>
            <w:tcBorders>
              <w:top w:val="nil"/>
              <w:left w:val="single" w:sz="12" w:space="0" w:color="auto"/>
              <w:bottom w:val="nil"/>
              <w:right w:val="nil"/>
            </w:tcBorders>
          </w:tcPr>
          <w:p w14:paraId="531687DB"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nil"/>
              <w:left w:val="nil"/>
              <w:bottom w:val="nil"/>
              <w:right w:val="nil"/>
            </w:tcBorders>
          </w:tcPr>
          <w:p w14:paraId="2266C1CA"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0.1%</w:t>
            </w:r>
          </w:p>
        </w:tc>
        <w:tc>
          <w:tcPr>
            <w:tcW w:w="1087" w:type="dxa"/>
            <w:tcBorders>
              <w:top w:val="nil"/>
              <w:left w:val="nil"/>
              <w:bottom w:val="nil"/>
              <w:right w:val="single" w:sz="12" w:space="0" w:color="auto"/>
            </w:tcBorders>
          </w:tcPr>
          <w:p w14:paraId="5B252511"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single" w:sz="12" w:space="0" w:color="auto"/>
              <w:bottom w:val="nil"/>
              <w:right w:val="nil"/>
            </w:tcBorders>
          </w:tcPr>
          <w:p w14:paraId="3B0BF057"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nil"/>
            </w:tcBorders>
          </w:tcPr>
          <w:p w14:paraId="54101A69"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single" w:sz="12" w:space="0" w:color="auto"/>
            </w:tcBorders>
          </w:tcPr>
          <w:p w14:paraId="08D22210"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r>
      <w:tr w:rsidR="001B3859" w14:paraId="5796818F" w14:textId="77777777" w:rsidTr="001B3859">
        <w:trPr>
          <w:trHeight w:val="252"/>
        </w:trPr>
        <w:tc>
          <w:tcPr>
            <w:tcW w:w="1423" w:type="dxa"/>
            <w:tcBorders>
              <w:top w:val="nil"/>
              <w:left w:val="single" w:sz="12" w:space="0" w:color="auto"/>
              <w:bottom w:val="nil"/>
              <w:right w:val="single" w:sz="12" w:space="0" w:color="auto"/>
            </w:tcBorders>
          </w:tcPr>
          <w:p w14:paraId="1B5DCFB0"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YCbCr 4:2:2</w:t>
            </w:r>
          </w:p>
        </w:tc>
        <w:tc>
          <w:tcPr>
            <w:tcW w:w="1087" w:type="dxa"/>
            <w:tcBorders>
              <w:top w:val="nil"/>
              <w:left w:val="single" w:sz="12" w:space="0" w:color="auto"/>
              <w:bottom w:val="nil"/>
              <w:right w:val="nil"/>
            </w:tcBorders>
          </w:tcPr>
          <w:p w14:paraId="78F54A15"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8" w:type="dxa"/>
            <w:tcBorders>
              <w:top w:val="nil"/>
              <w:left w:val="nil"/>
              <w:bottom w:val="nil"/>
              <w:right w:val="nil"/>
            </w:tcBorders>
          </w:tcPr>
          <w:p w14:paraId="75280757"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single" w:sz="12" w:space="0" w:color="auto"/>
            </w:tcBorders>
          </w:tcPr>
          <w:p w14:paraId="1BAE9902"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single" w:sz="12" w:space="0" w:color="auto"/>
              <w:bottom w:val="nil"/>
              <w:right w:val="nil"/>
            </w:tcBorders>
          </w:tcPr>
          <w:p w14:paraId="143093B5"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nil"/>
            </w:tcBorders>
          </w:tcPr>
          <w:p w14:paraId="269F4027"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c>
          <w:tcPr>
            <w:tcW w:w="1087" w:type="dxa"/>
            <w:tcBorders>
              <w:top w:val="nil"/>
              <w:left w:val="nil"/>
              <w:bottom w:val="nil"/>
              <w:right w:val="single" w:sz="12" w:space="0" w:color="auto"/>
            </w:tcBorders>
          </w:tcPr>
          <w:p w14:paraId="466CD0E3" w14:textId="77777777" w:rsidR="001B3859" w:rsidRDefault="001B385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0.0%</w:t>
            </w:r>
          </w:p>
        </w:tc>
      </w:tr>
      <w:tr w:rsidR="00771F14" w14:paraId="3118A599" w14:textId="77777777" w:rsidTr="000B1C7E">
        <w:trPr>
          <w:trHeight w:val="238"/>
        </w:trPr>
        <w:tc>
          <w:tcPr>
            <w:tcW w:w="1423" w:type="dxa"/>
            <w:tcBorders>
              <w:top w:val="single" w:sz="12" w:space="0" w:color="auto"/>
              <w:left w:val="single" w:sz="12" w:space="0" w:color="auto"/>
              <w:bottom w:val="nil"/>
              <w:right w:val="single" w:sz="12" w:space="0" w:color="auto"/>
            </w:tcBorders>
          </w:tcPr>
          <w:p w14:paraId="43F536C5" w14:textId="77777777" w:rsidR="00771F14" w:rsidRDefault="00771F1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Enc Time[%]</w:t>
            </w:r>
          </w:p>
        </w:tc>
        <w:tc>
          <w:tcPr>
            <w:tcW w:w="3262" w:type="dxa"/>
            <w:gridSpan w:val="3"/>
            <w:tcBorders>
              <w:top w:val="single" w:sz="12" w:space="0" w:color="auto"/>
              <w:left w:val="single" w:sz="12" w:space="0" w:color="auto"/>
              <w:bottom w:val="nil"/>
              <w:right w:val="single" w:sz="12" w:space="0" w:color="auto"/>
            </w:tcBorders>
          </w:tcPr>
          <w:p w14:paraId="10BDF436" w14:textId="165559F1" w:rsidR="00771F14" w:rsidRDefault="00771F1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100%</w:t>
            </w:r>
          </w:p>
        </w:tc>
        <w:tc>
          <w:tcPr>
            <w:tcW w:w="3261" w:type="dxa"/>
            <w:gridSpan w:val="3"/>
            <w:tcBorders>
              <w:top w:val="single" w:sz="12" w:space="0" w:color="auto"/>
              <w:left w:val="single" w:sz="12" w:space="0" w:color="auto"/>
              <w:bottom w:val="nil"/>
              <w:right w:val="single" w:sz="12" w:space="0" w:color="auto"/>
            </w:tcBorders>
          </w:tcPr>
          <w:p w14:paraId="750DE50A" w14:textId="423233A9" w:rsidR="00771F14" w:rsidRDefault="00771F1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100%</w:t>
            </w:r>
          </w:p>
        </w:tc>
      </w:tr>
      <w:tr w:rsidR="00771F14" w14:paraId="0CCD9243" w14:textId="77777777" w:rsidTr="008F20B4">
        <w:trPr>
          <w:trHeight w:val="252"/>
        </w:trPr>
        <w:tc>
          <w:tcPr>
            <w:tcW w:w="1423" w:type="dxa"/>
            <w:tcBorders>
              <w:top w:val="nil"/>
              <w:left w:val="single" w:sz="12" w:space="0" w:color="auto"/>
              <w:bottom w:val="single" w:sz="12" w:space="0" w:color="auto"/>
              <w:right w:val="single" w:sz="12" w:space="0" w:color="auto"/>
            </w:tcBorders>
          </w:tcPr>
          <w:p w14:paraId="1995A6E4" w14:textId="77777777" w:rsidR="00771F14" w:rsidRDefault="00771F1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rPr>
            </w:pPr>
            <w:r>
              <w:rPr>
                <w:rFonts w:ascii="Arial" w:hAnsi="Arial" w:cs="Arial"/>
                <w:color w:val="000000"/>
                <w:sz w:val="18"/>
                <w:szCs w:val="18"/>
                <w:lang w:val="en-GB"/>
              </w:rPr>
              <w:t>Dec Time[%]</w:t>
            </w:r>
          </w:p>
        </w:tc>
        <w:tc>
          <w:tcPr>
            <w:tcW w:w="3262" w:type="dxa"/>
            <w:gridSpan w:val="3"/>
            <w:tcBorders>
              <w:top w:val="nil"/>
              <w:left w:val="single" w:sz="12" w:space="0" w:color="auto"/>
              <w:bottom w:val="single" w:sz="12" w:space="0" w:color="auto"/>
              <w:right w:val="single" w:sz="12" w:space="0" w:color="auto"/>
            </w:tcBorders>
          </w:tcPr>
          <w:p w14:paraId="5B70E643" w14:textId="30CC4853" w:rsidR="00771F14" w:rsidRDefault="00771F1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100%</w:t>
            </w:r>
          </w:p>
        </w:tc>
        <w:tc>
          <w:tcPr>
            <w:tcW w:w="3261" w:type="dxa"/>
            <w:gridSpan w:val="3"/>
            <w:tcBorders>
              <w:top w:val="nil"/>
              <w:left w:val="single" w:sz="12" w:space="0" w:color="auto"/>
              <w:bottom w:val="single" w:sz="12" w:space="0" w:color="auto"/>
              <w:right w:val="single" w:sz="12" w:space="0" w:color="auto"/>
            </w:tcBorders>
          </w:tcPr>
          <w:p w14:paraId="306E26A7" w14:textId="4BEC4E27" w:rsidR="00771F14" w:rsidRDefault="00771F1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rPr>
            </w:pPr>
            <w:r>
              <w:rPr>
                <w:rFonts w:ascii="Arial" w:hAnsi="Arial" w:cs="Arial"/>
                <w:color w:val="000000"/>
                <w:sz w:val="18"/>
                <w:szCs w:val="18"/>
                <w:lang w:val="en-GB"/>
              </w:rPr>
              <w:t>100%</w:t>
            </w:r>
          </w:p>
        </w:tc>
      </w:tr>
    </w:tbl>
    <w:p w14:paraId="67E5D0BD" w14:textId="77777777" w:rsidR="001B3859" w:rsidRDefault="001B3859" w:rsidP="001C4082">
      <w:pPr>
        <w:rPr>
          <w:lang w:val="en-CA"/>
        </w:rPr>
      </w:pPr>
    </w:p>
    <w:p w14:paraId="7B6030E9" w14:textId="77777777" w:rsidR="00C152F7" w:rsidRDefault="00C152F7" w:rsidP="00C152F7">
      <w:pPr>
        <w:pStyle w:val="Heading2"/>
        <w:rPr>
          <w:lang w:val="en-CA"/>
        </w:rPr>
      </w:pPr>
      <w:r>
        <w:rPr>
          <w:lang w:val="en-CA"/>
        </w:rPr>
        <w:t>4:2:0 parallel encoding</w:t>
      </w:r>
    </w:p>
    <w:p w14:paraId="36D0EA8E" w14:textId="5D23DED7" w:rsidR="00C152F7" w:rsidRDefault="00C152F7" w:rsidP="00C152F7">
      <w:pPr>
        <w:rPr>
          <w:lang w:val="en-CA"/>
        </w:rPr>
      </w:pPr>
      <w:r>
        <w:rPr>
          <w:lang w:val="en-CA"/>
        </w:rPr>
        <w:t xml:space="preserve">The results below compare random-access main 10 using parallel encoding techniques as anchor, with the proposed “ResetEncoderStateAfterIRAP”. The parallel encoding anchor was generated by using the values in the individual log files, removing the influence of POC0, and combining the different intra periods. </w:t>
      </w:r>
    </w:p>
    <w:p w14:paraId="3FAA3788" w14:textId="77777777" w:rsidR="00C152F7" w:rsidRDefault="00C152F7" w:rsidP="00C152F7">
      <w:pPr>
        <w:rPr>
          <w:lang w:val="en-CA"/>
        </w:rPr>
      </w:pPr>
    </w:p>
    <w:tbl>
      <w:tblPr>
        <w:tblW w:w="0" w:type="auto"/>
        <w:tblInd w:w="78" w:type="dxa"/>
        <w:tblLayout w:type="fixed"/>
        <w:tblLook w:val="0000" w:firstRow="0" w:lastRow="0" w:firstColumn="0" w:lastColumn="0" w:noHBand="0" w:noVBand="0"/>
      </w:tblPr>
      <w:tblGrid>
        <w:gridCol w:w="1332"/>
        <w:gridCol w:w="1087"/>
        <w:gridCol w:w="1087"/>
        <w:gridCol w:w="1088"/>
      </w:tblGrid>
      <w:tr w:rsidR="00C152F7" w14:paraId="17005819" w14:textId="77777777" w:rsidTr="00C152F7">
        <w:trPr>
          <w:trHeight w:val="238"/>
        </w:trPr>
        <w:tc>
          <w:tcPr>
            <w:tcW w:w="1332" w:type="dxa"/>
            <w:tcBorders>
              <w:top w:val="nil"/>
              <w:left w:val="nil"/>
              <w:bottom w:val="nil"/>
              <w:right w:val="nil"/>
            </w:tcBorders>
          </w:tcPr>
          <w:p w14:paraId="60447D8A"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right"/>
              <w:textAlignment w:val="auto"/>
              <w:rPr>
                <w:rFonts w:ascii="Arial" w:hAnsi="Arial" w:cs="Arial"/>
                <w:color w:val="000000"/>
                <w:sz w:val="18"/>
                <w:szCs w:val="18"/>
                <w:lang w:val="en-GB" w:eastAsia="en-GB"/>
              </w:rPr>
            </w:pPr>
          </w:p>
        </w:tc>
        <w:tc>
          <w:tcPr>
            <w:tcW w:w="3262" w:type="dxa"/>
            <w:gridSpan w:val="3"/>
            <w:tcBorders>
              <w:top w:val="single" w:sz="12" w:space="0" w:color="auto"/>
              <w:left w:val="single" w:sz="12" w:space="0" w:color="auto"/>
              <w:bottom w:val="nil"/>
              <w:right w:val="single" w:sz="12" w:space="0" w:color="auto"/>
            </w:tcBorders>
          </w:tcPr>
          <w:p w14:paraId="3E90FCA9"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b/>
                <w:bCs/>
                <w:color w:val="000000"/>
                <w:sz w:val="18"/>
                <w:szCs w:val="18"/>
                <w:lang w:val="en-GB" w:eastAsia="en-GB"/>
              </w:rPr>
            </w:pPr>
            <w:r>
              <w:rPr>
                <w:rFonts w:ascii="Arial" w:hAnsi="Arial" w:cs="Arial"/>
                <w:b/>
                <w:bCs/>
                <w:color w:val="000000"/>
                <w:sz w:val="18"/>
                <w:szCs w:val="18"/>
                <w:lang w:val="en-GB" w:eastAsia="en-GB"/>
              </w:rPr>
              <w:t>Random Access Main 10</w:t>
            </w:r>
          </w:p>
        </w:tc>
      </w:tr>
      <w:tr w:rsidR="00C152F7" w14:paraId="5C23E9C7" w14:textId="77777777" w:rsidTr="00C152F7">
        <w:trPr>
          <w:trHeight w:val="252"/>
        </w:trPr>
        <w:tc>
          <w:tcPr>
            <w:tcW w:w="1332" w:type="dxa"/>
            <w:tcBorders>
              <w:top w:val="nil"/>
              <w:left w:val="nil"/>
              <w:bottom w:val="nil"/>
              <w:right w:val="nil"/>
            </w:tcBorders>
          </w:tcPr>
          <w:p w14:paraId="0340768D"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right"/>
              <w:textAlignment w:val="auto"/>
              <w:rPr>
                <w:rFonts w:ascii="Arial" w:hAnsi="Arial" w:cs="Arial"/>
                <w:color w:val="000000"/>
                <w:sz w:val="18"/>
                <w:szCs w:val="18"/>
                <w:lang w:val="en-GB" w:eastAsia="en-GB"/>
              </w:rPr>
            </w:pPr>
          </w:p>
        </w:tc>
        <w:tc>
          <w:tcPr>
            <w:tcW w:w="1087" w:type="dxa"/>
            <w:tcBorders>
              <w:top w:val="nil"/>
              <w:left w:val="single" w:sz="12" w:space="0" w:color="auto"/>
              <w:bottom w:val="nil"/>
              <w:right w:val="nil"/>
            </w:tcBorders>
          </w:tcPr>
          <w:p w14:paraId="5B10ACED"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Y</w:t>
            </w:r>
          </w:p>
        </w:tc>
        <w:tc>
          <w:tcPr>
            <w:tcW w:w="1087" w:type="dxa"/>
            <w:tcBorders>
              <w:top w:val="nil"/>
              <w:left w:val="nil"/>
              <w:bottom w:val="nil"/>
              <w:right w:val="nil"/>
            </w:tcBorders>
          </w:tcPr>
          <w:p w14:paraId="29C6F8A9"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U</w:t>
            </w:r>
          </w:p>
        </w:tc>
        <w:tc>
          <w:tcPr>
            <w:tcW w:w="1088" w:type="dxa"/>
            <w:tcBorders>
              <w:top w:val="nil"/>
              <w:left w:val="nil"/>
              <w:bottom w:val="nil"/>
              <w:right w:val="single" w:sz="12" w:space="0" w:color="auto"/>
            </w:tcBorders>
          </w:tcPr>
          <w:p w14:paraId="513E3FD7"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V</w:t>
            </w:r>
          </w:p>
        </w:tc>
      </w:tr>
      <w:tr w:rsidR="00C152F7" w14:paraId="5D7E7FFC" w14:textId="77777777" w:rsidTr="00C152F7">
        <w:trPr>
          <w:trHeight w:val="252"/>
        </w:trPr>
        <w:tc>
          <w:tcPr>
            <w:tcW w:w="1332" w:type="dxa"/>
            <w:tcBorders>
              <w:top w:val="single" w:sz="12" w:space="0" w:color="auto"/>
              <w:left w:val="single" w:sz="12" w:space="0" w:color="auto"/>
              <w:bottom w:val="nil"/>
              <w:right w:val="single" w:sz="12" w:space="0" w:color="auto"/>
            </w:tcBorders>
          </w:tcPr>
          <w:p w14:paraId="68CC6CDA"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eastAsia="en-GB"/>
              </w:rPr>
            </w:pPr>
            <w:r>
              <w:rPr>
                <w:rFonts w:ascii="Arial" w:hAnsi="Arial" w:cs="Arial"/>
                <w:color w:val="000000"/>
                <w:sz w:val="18"/>
                <w:szCs w:val="18"/>
                <w:lang w:val="en-GB" w:eastAsia="en-GB"/>
              </w:rPr>
              <w:t>Class A1</w:t>
            </w:r>
          </w:p>
        </w:tc>
        <w:tc>
          <w:tcPr>
            <w:tcW w:w="1087" w:type="dxa"/>
            <w:tcBorders>
              <w:top w:val="single" w:sz="12" w:space="0" w:color="auto"/>
              <w:left w:val="single" w:sz="12" w:space="0" w:color="auto"/>
              <w:bottom w:val="nil"/>
              <w:right w:val="nil"/>
            </w:tcBorders>
          </w:tcPr>
          <w:p w14:paraId="0578E72D" w14:textId="6742E64E"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0.0000%</w:t>
            </w:r>
          </w:p>
        </w:tc>
        <w:tc>
          <w:tcPr>
            <w:tcW w:w="1087" w:type="dxa"/>
            <w:tcBorders>
              <w:top w:val="single" w:sz="12" w:space="0" w:color="auto"/>
              <w:left w:val="nil"/>
              <w:bottom w:val="nil"/>
              <w:right w:val="nil"/>
            </w:tcBorders>
          </w:tcPr>
          <w:p w14:paraId="0A49661E" w14:textId="298BFF7C"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-0.0004%</w:t>
            </w:r>
          </w:p>
        </w:tc>
        <w:tc>
          <w:tcPr>
            <w:tcW w:w="1088" w:type="dxa"/>
            <w:tcBorders>
              <w:top w:val="single" w:sz="12" w:space="0" w:color="auto"/>
              <w:left w:val="nil"/>
              <w:bottom w:val="nil"/>
              <w:right w:val="single" w:sz="12" w:space="0" w:color="auto"/>
            </w:tcBorders>
          </w:tcPr>
          <w:p w14:paraId="3CDF4C4A" w14:textId="5A8689DC"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-0.0002%</w:t>
            </w:r>
          </w:p>
        </w:tc>
      </w:tr>
      <w:tr w:rsidR="00C152F7" w14:paraId="65B1AA41" w14:textId="77777777" w:rsidTr="00C152F7">
        <w:trPr>
          <w:trHeight w:val="238"/>
        </w:trPr>
        <w:tc>
          <w:tcPr>
            <w:tcW w:w="1332" w:type="dxa"/>
            <w:tcBorders>
              <w:top w:val="nil"/>
              <w:left w:val="single" w:sz="12" w:space="0" w:color="auto"/>
              <w:bottom w:val="nil"/>
              <w:right w:val="single" w:sz="12" w:space="0" w:color="auto"/>
            </w:tcBorders>
          </w:tcPr>
          <w:p w14:paraId="5900BCDD"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eastAsia="en-GB"/>
              </w:rPr>
            </w:pPr>
            <w:r>
              <w:rPr>
                <w:rFonts w:ascii="Arial" w:hAnsi="Arial" w:cs="Arial"/>
                <w:color w:val="000000"/>
                <w:sz w:val="18"/>
                <w:szCs w:val="18"/>
                <w:lang w:val="en-GB" w:eastAsia="en-GB"/>
              </w:rPr>
              <w:t>Class A2</w:t>
            </w:r>
          </w:p>
        </w:tc>
        <w:tc>
          <w:tcPr>
            <w:tcW w:w="1087" w:type="dxa"/>
            <w:tcBorders>
              <w:top w:val="nil"/>
              <w:left w:val="single" w:sz="12" w:space="0" w:color="auto"/>
              <w:bottom w:val="nil"/>
              <w:right w:val="nil"/>
            </w:tcBorders>
          </w:tcPr>
          <w:p w14:paraId="0C5A4DB8" w14:textId="68EE623B"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0.0002%</w:t>
            </w:r>
          </w:p>
        </w:tc>
        <w:tc>
          <w:tcPr>
            <w:tcW w:w="1087" w:type="dxa"/>
            <w:tcBorders>
              <w:top w:val="nil"/>
              <w:left w:val="nil"/>
              <w:bottom w:val="nil"/>
              <w:right w:val="nil"/>
            </w:tcBorders>
          </w:tcPr>
          <w:p w14:paraId="7F6440BD" w14:textId="2AE3012C"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0.0000%</w:t>
            </w:r>
          </w:p>
        </w:tc>
        <w:tc>
          <w:tcPr>
            <w:tcW w:w="1088" w:type="dxa"/>
            <w:tcBorders>
              <w:top w:val="nil"/>
              <w:left w:val="nil"/>
              <w:bottom w:val="nil"/>
              <w:right w:val="single" w:sz="12" w:space="0" w:color="auto"/>
            </w:tcBorders>
          </w:tcPr>
          <w:p w14:paraId="44149C01" w14:textId="52A5B83E"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0.0004%</w:t>
            </w:r>
          </w:p>
        </w:tc>
      </w:tr>
      <w:tr w:rsidR="00C152F7" w14:paraId="508A2F78" w14:textId="77777777" w:rsidTr="00C152F7">
        <w:trPr>
          <w:trHeight w:val="238"/>
        </w:trPr>
        <w:tc>
          <w:tcPr>
            <w:tcW w:w="1332" w:type="dxa"/>
            <w:tcBorders>
              <w:top w:val="nil"/>
              <w:left w:val="single" w:sz="12" w:space="0" w:color="auto"/>
              <w:bottom w:val="nil"/>
              <w:right w:val="single" w:sz="12" w:space="0" w:color="auto"/>
            </w:tcBorders>
          </w:tcPr>
          <w:p w14:paraId="6BDD5BEC"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eastAsia="en-GB"/>
              </w:rPr>
            </w:pPr>
            <w:r>
              <w:rPr>
                <w:rFonts w:ascii="Arial" w:hAnsi="Arial" w:cs="Arial"/>
                <w:color w:val="000000"/>
                <w:sz w:val="18"/>
                <w:szCs w:val="18"/>
                <w:lang w:val="en-GB" w:eastAsia="en-GB"/>
              </w:rPr>
              <w:t>Class B</w:t>
            </w:r>
          </w:p>
        </w:tc>
        <w:tc>
          <w:tcPr>
            <w:tcW w:w="1087" w:type="dxa"/>
            <w:tcBorders>
              <w:top w:val="nil"/>
              <w:left w:val="single" w:sz="12" w:space="0" w:color="auto"/>
              <w:bottom w:val="nil"/>
              <w:right w:val="nil"/>
            </w:tcBorders>
          </w:tcPr>
          <w:p w14:paraId="261C648C" w14:textId="430E2F74"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0.0003%</w:t>
            </w:r>
          </w:p>
        </w:tc>
        <w:tc>
          <w:tcPr>
            <w:tcW w:w="1087" w:type="dxa"/>
            <w:tcBorders>
              <w:top w:val="nil"/>
              <w:left w:val="nil"/>
              <w:bottom w:val="nil"/>
              <w:right w:val="nil"/>
            </w:tcBorders>
          </w:tcPr>
          <w:p w14:paraId="2A4A136C" w14:textId="22278076"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-0.0003%</w:t>
            </w:r>
          </w:p>
        </w:tc>
        <w:tc>
          <w:tcPr>
            <w:tcW w:w="1088" w:type="dxa"/>
            <w:tcBorders>
              <w:top w:val="nil"/>
              <w:left w:val="nil"/>
              <w:bottom w:val="nil"/>
              <w:right w:val="single" w:sz="12" w:space="0" w:color="auto"/>
            </w:tcBorders>
          </w:tcPr>
          <w:p w14:paraId="76D7D16D" w14:textId="74218565"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-0.0003%</w:t>
            </w:r>
          </w:p>
        </w:tc>
      </w:tr>
      <w:tr w:rsidR="00C152F7" w14:paraId="7A51C24B" w14:textId="77777777" w:rsidTr="00C152F7">
        <w:trPr>
          <w:trHeight w:val="238"/>
        </w:trPr>
        <w:tc>
          <w:tcPr>
            <w:tcW w:w="1332" w:type="dxa"/>
            <w:tcBorders>
              <w:top w:val="nil"/>
              <w:left w:val="single" w:sz="12" w:space="0" w:color="auto"/>
              <w:bottom w:val="nil"/>
              <w:right w:val="single" w:sz="12" w:space="0" w:color="auto"/>
            </w:tcBorders>
          </w:tcPr>
          <w:p w14:paraId="604BE595"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eastAsia="en-GB"/>
              </w:rPr>
            </w:pPr>
            <w:r>
              <w:rPr>
                <w:rFonts w:ascii="Arial" w:hAnsi="Arial" w:cs="Arial"/>
                <w:color w:val="000000"/>
                <w:sz w:val="18"/>
                <w:szCs w:val="18"/>
                <w:lang w:val="en-GB" w:eastAsia="en-GB"/>
              </w:rPr>
              <w:t>Class C</w:t>
            </w:r>
          </w:p>
        </w:tc>
        <w:tc>
          <w:tcPr>
            <w:tcW w:w="1087" w:type="dxa"/>
            <w:tcBorders>
              <w:top w:val="nil"/>
              <w:left w:val="single" w:sz="12" w:space="0" w:color="auto"/>
              <w:bottom w:val="nil"/>
              <w:right w:val="nil"/>
            </w:tcBorders>
          </w:tcPr>
          <w:p w14:paraId="5AB380E9" w14:textId="47274A45"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-0.0002%</w:t>
            </w:r>
          </w:p>
        </w:tc>
        <w:tc>
          <w:tcPr>
            <w:tcW w:w="1087" w:type="dxa"/>
            <w:tcBorders>
              <w:top w:val="nil"/>
              <w:left w:val="nil"/>
              <w:bottom w:val="nil"/>
              <w:right w:val="nil"/>
            </w:tcBorders>
          </w:tcPr>
          <w:p w14:paraId="3365472F" w14:textId="795C7E45"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-0.0002%</w:t>
            </w:r>
          </w:p>
        </w:tc>
        <w:tc>
          <w:tcPr>
            <w:tcW w:w="1088" w:type="dxa"/>
            <w:tcBorders>
              <w:top w:val="nil"/>
              <w:left w:val="nil"/>
              <w:bottom w:val="nil"/>
              <w:right w:val="single" w:sz="12" w:space="0" w:color="auto"/>
            </w:tcBorders>
          </w:tcPr>
          <w:p w14:paraId="4F689610" w14:textId="7BC7ECEA"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0.0000%</w:t>
            </w:r>
          </w:p>
        </w:tc>
      </w:tr>
      <w:tr w:rsidR="00C152F7" w14:paraId="799560CE" w14:textId="77777777" w:rsidTr="00C152F7">
        <w:trPr>
          <w:trHeight w:val="252"/>
        </w:trPr>
        <w:tc>
          <w:tcPr>
            <w:tcW w:w="1332" w:type="dxa"/>
            <w:tcBorders>
              <w:top w:val="nil"/>
              <w:left w:val="single" w:sz="12" w:space="0" w:color="auto"/>
              <w:bottom w:val="nil"/>
              <w:right w:val="single" w:sz="12" w:space="0" w:color="auto"/>
            </w:tcBorders>
          </w:tcPr>
          <w:p w14:paraId="2D97B953"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eastAsia="en-GB"/>
              </w:rPr>
            </w:pPr>
            <w:r>
              <w:rPr>
                <w:rFonts w:ascii="Arial" w:hAnsi="Arial" w:cs="Arial"/>
                <w:color w:val="000000"/>
                <w:sz w:val="18"/>
                <w:szCs w:val="18"/>
                <w:lang w:val="en-GB" w:eastAsia="en-GB"/>
              </w:rPr>
              <w:t>Class E</w:t>
            </w:r>
          </w:p>
        </w:tc>
        <w:tc>
          <w:tcPr>
            <w:tcW w:w="1087" w:type="dxa"/>
            <w:tcBorders>
              <w:top w:val="nil"/>
              <w:left w:val="single" w:sz="12" w:space="0" w:color="auto"/>
              <w:bottom w:val="nil"/>
              <w:right w:val="nil"/>
            </w:tcBorders>
            <w:shd w:val="solid" w:color="C0C0C0" w:fill="auto"/>
          </w:tcPr>
          <w:p w14:paraId="30AD6538"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p>
        </w:tc>
        <w:tc>
          <w:tcPr>
            <w:tcW w:w="1087" w:type="dxa"/>
            <w:tcBorders>
              <w:top w:val="nil"/>
              <w:left w:val="nil"/>
              <w:bottom w:val="nil"/>
              <w:right w:val="nil"/>
            </w:tcBorders>
            <w:shd w:val="solid" w:color="C0C0C0" w:fill="auto"/>
          </w:tcPr>
          <w:p w14:paraId="0710D470"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p>
        </w:tc>
        <w:tc>
          <w:tcPr>
            <w:tcW w:w="1088" w:type="dxa"/>
            <w:tcBorders>
              <w:top w:val="nil"/>
              <w:left w:val="nil"/>
              <w:bottom w:val="nil"/>
              <w:right w:val="single" w:sz="12" w:space="0" w:color="auto"/>
            </w:tcBorders>
            <w:shd w:val="solid" w:color="C0C0C0" w:fill="auto"/>
          </w:tcPr>
          <w:p w14:paraId="2BB27DEB"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p>
        </w:tc>
      </w:tr>
      <w:tr w:rsidR="00C152F7" w14:paraId="0B59E1CF" w14:textId="77777777" w:rsidTr="00C152F7">
        <w:trPr>
          <w:trHeight w:val="238"/>
        </w:trPr>
        <w:tc>
          <w:tcPr>
            <w:tcW w:w="1332" w:type="dxa"/>
            <w:tcBorders>
              <w:top w:val="single" w:sz="12" w:space="0" w:color="auto"/>
              <w:left w:val="single" w:sz="12" w:space="0" w:color="auto"/>
              <w:bottom w:val="nil"/>
              <w:right w:val="single" w:sz="12" w:space="0" w:color="auto"/>
            </w:tcBorders>
          </w:tcPr>
          <w:p w14:paraId="72AFC721"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b/>
                <w:bCs/>
                <w:color w:val="000000"/>
                <w:sz w:val="18"/>
                <w:szCs w:val="18"/>
                <w:lang w:val="en-GB" w:eastAsia="en-GB"/>
              </w:rPr>
            </w:pPr>
            <w:r>
              <w:rPr>
                <w:rFonts w:ascii="Arial" w:hAnsi="Arial" w:cs="Arial"/>
                <w:b/>
                <w:bCs/>
                <w:color w:val="000000"/>
                <w:sz w:val="18"/>
                <w:szCs w:val="18"/>
                <w:lang w:val="en-GB" w:eastAsia="en-GB"/>
              </w:rPr>
              <w:t>Overall</w:t>
            </w:r>
          </w:p>
        </w:tc>
        <w:tc>
          <w:tcPr>
            <w:tcW w:w="1087" w:type="dxa"/>
            <w:tcBorders>
              <w:top w:val="single" w:sz="12" w:space="0" w:color="auto"/>
              <w:left w:val="nil"/>
              <w:bottom w:val="nil"/>
              <w:right w:val="nil"/>
            </w:tcBorders>
          </w:tcPr>
          <w:p w14:paraId="5C772669" w14:textId="7A25EF4B"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0.0001%</w:t>
            </w:r>
          </w:p>
        </w:tc>
        <w:tc>
          <w:tcPr>
            <w:tcW w:w="1087" w:type="dxa"/>
            <w:tcBorders>
              <w:top w:val="single" w:sz="12" w:space="0" w:color="auto"/>
              <w:left w:val="nil"/>
              <w:bottom w:val="nil"/>
              <w:right w:val="nil"/>
            </w:tcBorders>
          </w:tcPr>
          <w:p w14:paraId="620979DC" w14:textId="45B4836B"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-0.0002%</w:t>
            </w:r>
          </w:p>
        </w:tc>
        <w:tc>
          <w:tcPr>
            <w:tcW w:w="1088" w:type="dxa"/>
            <w:tcBorders>
              <w:top w:val="single" w:sz="12" w:space="0" w:color="auto"/>
              <w:left w:val="nil"/>
              <w:bottom w:val="nil"/>
              <w:right w:val="single" w:sz="12" w:space="0" w:color="auto"/>
            </w:tcBorders>
          </w:tcPr>
          <w:p w14:paraId="2094E675" w14:textId="7BB52080"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-0.0001%</w:t>
            </w:r>
          </w:p>
        </w:tc>
      </w:tr>
      <w:tr w:rsidR="00C152F7" w14:paraId="427162A0" w14:textId="77777777" w:rsidTr="00C152F7">
        <w:trPr>
          <w:trHeight w:val="252"/>
        </w:trPr>
        <w:tc>
          <w:tcPr>
            <w:tcW w:w="1332" w:type="dxa"/>
            <w:tcBorders>
              <w:top w:val="nil"/>
              <w:left w:val="single" w:sz="12" w:space="0" w:color="auto"/>
              <w:bottom w:val="single" w:sz="12" w:space="0" w:color="auto"/>
              <w:right w:val="single" w:sz="12" w:space="0" w:color="auto"/>
            </w:tcBorders>
          </w:tcPr>
          <w:p w14:paraId="12388ABC"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right"/>
              <w:textAlignment w:val="auto"/>
              <w:rPr>
                <w:rFonts w:ascii="Arial" w:hAnsi="Arial" w:cs="Arial"/>
                <w:color w:val="000000"/>
                <w:sz w:val="18"/>
                <w:szCs w:val="18"/>
                <w:lang w:val="en-GB" w:eastAsia="en-GB"/>
              </w:rPr>
            </w:pPr>
          </w:p>
        </w:tc>
        <w:tc>
          <w:tcPr>
            <w:tcW w:w="1087" w:type="dxa"/>
            <w:tcBorders>
              <w:top w:val="nil"/>
              <w:left w:val="nil"/>
              <w:bottom w:val="single" w:sz="12" w:space="0" w:color="auto"/>
              <w:right w:val="nil"/>
            </w:tcBorders>
          </w:tcPr>
          <w:p w14:paraId="1E2EFB2E" w14:textId="75438F6A"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808080"/>
                <w:sz w:val="18"/>
                <w:szCs w:val="18"/>
                <w:lang w:val="en-GB" w:eastAsia="en-GB"/>
              </w:rPr>
            </w:pPr>
            <w:r>
              <w:rPr>
                <w:rFonts w:ascii="Arial" w:hAnsi="Arial" w:cs="Arial"/>
                <w:color w:val="808080"/>
                <w:sz w:val="18"/>
                <w:szCs w:val="18"/>
                <w:lang w:val="en-GB" w:eastAsia="en-GB"/>
              </w:rPr>
              <w:t>0.0002%</w:t>
            </w:r>
          </w:p>
        </w:tc>
        <w:tc>
          <w:tcPr>
            <w:tcW w:w="1087" w:type="dxa"/>
            <w:tcBorders>
              <w:top w:val="nil"/>
              <w:left w:val="nil"/>
              <w:bottom w:val="single" w:sz="12" w:space="0" w:color="auto"/>
              <w:right w:val="nil"/>
            </w:tcBorders>
          </w:tcPr>
          <w:p w14:paraId="0B66E5FC" w14:textId="6151FE8D"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808080"/>
                <w:sz w:val="18"/>
                <w:szCs w:val="18"/>
                <w:lang w:val="en-GB" w:eastAsia="en-GB"/>
              </w:rPr>
            </w:pPr>
            <w:r>
              <w:rPr>
                <w:rFonts w:ascii="Arial" w:hAnsi="Arial" w:cs="Arial"/>
                <w:color w:val="808080"/>
                <w:sz w:val="18"/>
                <w:szCs w:val="18"/>
                <w:lang w:val="en-GB" w:eastAsia="en-GB"/>
              </w:rPr>
              <w:t>-0.0003%</w:t>
            </w:r>
          </w:p>
        </w:tc>
        <w:tc>
          <w:tcPr>
            <w:tcW w:w="1088" w:type="dxa"/>
            <w:tcBorders>
              <w:top w:val="nil"/>
              <w:left w:val="nil"/>
              <w:bottom w:val="single" w:sz="12" w:space="0" w:color="auto"/>
              <w:right w:val="single" w:sz="12" w:space="0" w:color="auto"/>
            </w:tcBorders>
          </w:tcPr>
          <w:p w14:paraId="0591B8F6" w14:textId="7AB7391F"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808080"/>
                <w:sz w:val="18"/>
                <w:szCs w:val="18"/>
                <w:lang w:val="en-GB" w:eastAsia="en-GB"/>
              </w:rPr>
            </w:pPr>
            <w:r>
              <w:rPr>
                <w:rFonts w:ascii="Arial" w:hAnsi="Arial" w:cs="Arial"/>
                <w:color w:val="808080"/>
                <w:sz w:val="18"/>
                <w:szCs w:val="18"/>
                <w:lang w:val="en-GB" w:eastAsia="en-GB"/>
              </w:rPr>
              <w:t>0.0000%</w:t>
            </w:r>
          </w:p>
        </w:tc>
      </w:tr>
      <w:tr w:rsidR="00C152F7" w14:paraId="4B03D39C" w14:textId="77777777" w:rsidTr="00C152F7">
        <w:trPr>
          <w:trHeight w:val="252"/>
        </w:trPr>
        <w:tc>
          <w:tcPr>
            <w:tcW w:w="1332" w:type="dxa"/>
            <w:tcBorders>
              <w:top w:val="single" w:sz="12" w:space="0" w:color="auto"/>
              <w:left w:val="single" w:sz="12" w:space="0" w:color="auto"/>
              <w:bottom w:val="nil"/>
              <w:right w:val="single" w:sz="12" w:space="0" w:color="auto"/>
            </w:tcBorders>
          </w:tcPr>
          <w:p w14:paraId="12E162E1"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eastAsia="en-GB"/>
              </w:rPr>
            </w:pPr>
            <w:r>
              <w:rPr>
                <w:rFonts w:ascii="Arial" w:hAnsi="Arial" w:cs="Arial"/>
                <w:color w:val="000000"/>
                <w:sz w:val="18"/>
                <w:szCs w:val="18"/>
                <w:lang w:val="en-GB" w:eastAsia="en-GB"/>
              </w:rPr>
              <w:t>Class D</w:t>
            </w:r>
          </w:p>
        </w:tc>
        <w:tc>
          <w:tcPr>
            <w:tcW w:w="1087" w:type="dxa"/>
            <w:tcBorders>
              <w:top w:val="single" w:sz="12" w:space="0" w:color="auto"/>
              <w:left w:val="single" w:sz="12" w:space="0" w:color="auto"/>
              <w:bottom w:val="nil"/>
              <w:right w:val="nil"/>
            </w:tcBorders>
          </w:tcPr>
          <w:p w14:paraId="6B9B018A" w14:textId="3321CDFC"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0.0000%</w:t>
            </w:r>
          </w:p>
        </w:tc>
        <w:tc>
          <w:tcPr>
            <w:tcW w:w="1087" w:type="dxa"/>
            <w:tcBorders>
              <w:top w:val="single" w:sz="12" w:space="0" w:color="auto"/>
              <w:left w:val="nil"/>
              <w:bottom w:val="nil"/>
              <w:right w:val="nil"/>
            </w:tcBorders>
          </w:tcPr>
          <w:p w14:paraId="349706FE" w14:textId="09CCE6E1"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-0.0002%</w:t>
            </w:r>
          </w:p>
        </w:tc>
        <w:tc>
          <w:tcPr>
            <w:tcW w:w="1088" w:type="dxa"/>
            <w:tcBorders>
              <w:top w:val="single" w:sz="12" w:space="0" w:color="auto"/>
              <w:left w:val="nil"/>
              <w:bottom w:val="nil"/>
              <w:right w:val="single" w:sz="12" w:space="0" w:color="auto"/>
            </w:tcBorders>
          </w:tcPr>
          <w:p w14:paraId="20F3FB7E" w14:textId="6E2F7F6C"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-0.0003%</w:t>
            </w:r>
          </w:p>
        </w:tc>
      </w:tr>
      <w:tr w:rsidR="00C152F7" w14:paraId="0DEAEBBB" w14:textId="77777777" w:rsidTr="00C152F7">
        <w:trPr>
          <w:trHeight w:val="252"/>
        </w:trPr>
        <w:tc>
          <w:tcPr>
            <w:tcW w:w="1332" w:type="dxa"/>
            <w:tcBorders>
              <w:top w:val="nil"/>
              <w:left w:val="single" w:sz="12" w:space="0" w:color="auto"/>
              <w:bottom w:val="single" w:sz="12" w:space="0" w:color="auto"/>
              <w:right w:val="single" w:sz="12" w:space="0" w:color="auto"/>
            </w:tcBorders>
          </w:tcPr>
          <w:p w14:paraId="6CD9E268"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eastAsia="en-GB"/>
              </w:rPr>
            </w:pPr>
            <w:r>
              <w:rPr>
                <w:rFonts w:ascii="Arial" w:hAnsi="Arial" w:cs="Arial"/>
                <w:color w:val="000000"/>
                <w:sz w:val="18"/>
                <w:szCs w:val="18"/>
                <w:lang w:val="en-GB" w:eastAsia="en-GB"/>
              </w:rPr>
              <w:t>Class F</w:t>
            </w:r>
          </w:p>
        </w:tc>
        <w:tc>
          <w:tcPr>
            <w:tcW w:w="1087" w:type="dxa"/>
            <w:tcBorders>
              <w:top w:val="nil"/>
              <w:left w:val="single" w:sz="12" w:space="0" w:color="auto"/>
              <w:bottom w:val="single" w:sz="12" w:space="0" w:color="auto"/>
              <w:right w:val="nil"/>
            </w:tcBorders>
          </w:tcPr>
          <w:p w14:paraId="7DCFAEB5" w14:textId="1A4A37DB"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-0.0001%</w:t>
            </w:r>
          </w:p>
        </w:tc>
        <w:tc>
          <w:tcPr>
            <w:tcW w:w="1087" w:type="dxa"/>
            <w:tcBorders>
              <w:top w:val="nil"/>
              <w:left w:val="nil"/>
              <w:bottom w:val="single" w:sz="12" w:space="0" w:color="auto"/>
              <w:right w:val="nil"/>
            </w:tcBorders>
          </w:tcPr>
          <w:p w14:paraId="236E4A92" w14:textId="3432CB12"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0.0000%</w:t>
            </w:r>
          </w:p>
        </w:tc>
        <w:tc>
          <w:tcPr>
            <w:tcW w:w="1088" w:type="dxa"/>
            <w:tcBorders>
              <w:top w:val="nil"/>
              <w:left w:val="nil"/>
              <w:bottom w:val="single" w:sz="12" w:space="0" w:color="auto"/>
              <w:right w:val="single" w:sz="12" w:space="0" w:color="auto"/>
            </w:tcBorders>
          </w:tcPr>
          <w:p w14:paraId="592F7D68" w14:textId="2FD67393"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0.0000%</w:t>
            </w:r>
          </w:p>
        </w:tc>
      </w:tr>
      <w:tr w:rsidR="00C152F7" w14:paraId="6FC9E958" w14:textId="77777777" w:rsidTr="00441C0A">
        <w:trPr>
          <w:trHeight w:val="238"/>
        </w:trPr>
        <w:tc>
          <w:tcPr>
            <w:tcW w:w="1332" w:type="dxa"/>
            <w:tcBorders>
              <w:top w:val="nil"/>
              <w:left w:val="single" w:sz="12" w:space="0" w:color="auto"/>
              <w:bottom w:val="nil"/>
              <w:right w:val="single" w:sz="12" w:space="0" w:color="auto"/>
            </w:tcBorders>
          </w:tcPr>
          <w:p w14:paraId="08621C76"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eastAsia="en-GB"/>
              </w:rPr>
            </w:pPr>
            <w:r>
              <w:rPr>
                <w:rFonts w:ascii="Arial" w:hAnsi="Arial" w:cs="Arial"/>
                <w:color w:val="000000"/>
                <w:sz w:val="18"/>
                <w:szCs w:val="18"/>
                <w:lang w:val="en-GB" w:eastAsia="en-GB"/>
              </w:rPr>
              <w:t>Enc Time[%]</w:t>
            </w:r>
          </w:p>
        </w:tc>
        <w:tc>
          <w:tcPr>
            <w:tcW w:w="3262" w:type="dxa"/>
            <w:gridSpan w:val="3"/>
            <w:tcBorders>
              <w:top w:val="single" w:sz="12" w:space="0" w:color="auto"/>
              <w:left w:val="single" w:sz="12" w:space="0" w:color="auto"/>
              <w:bottom w:val="nil"/>
              <w:right w:val="single" w:sz="12" w:space="0" w:color="auto"/>
            </w:tcBorders>
          </w:tcPr>
          <w:p w14:paraId="5FCDA899" w14:textId="6E75F6F6"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101%</w:t>
            </w:r>
          </w:p>
        </w:tc>
      </w:tr>
      <w:tr w:rsidR="00C152F7" w14:paraId="5122D09F" w14:textId="77777777" w:rsidTr="0008708A">
        <w:trPr>
          <w:trHeight w:val="252"/>
        </w:trPr>
        <w:tc>
          <w:tcPr>
            <w:tcW w:w="1332" w:type="dxa"/>
            <w:tcBorders>
              <w:top w:val="nil"/>
              <w:left w:val="single" w:sz="12" w:space="0" w:color="auto"/>
              <w:bottom w:val="single" w:sz="12" w:space="0" w:color="auto"/>
              <w:right w:val="single" w:sz="12" w:space="0" w:color="auto"/>
            </w:tcBorders>
          </w:tcPr>
          <w:p w14:paraId="3009C729" w14:textId="77777777"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left"/>
              <w:textAlignment w:val="auto"/>
              <w:rPr>
                <w:rFonts w:ascii="Arial" w:hAnsi="Arial" w:cs="Arial"/>
                <w:color w:val="000000"/>
                <w:sz w:val="18"/>
                <w:szCs w:val="18"/>
                <w:lang w:val="en-GB" w:eastAsia="en-GB"/>
              </w:rPr>
            </w:pPr>
            <w:r>
              <w:rPr>
                <w:rFonts w:ascii="Arial" w:hAnsi="Arial" w:cs="Arial"/>
                <w:color w:val="000000"/>
                <w:sz w:val="18"/>
                <w:szCs w:val="18"/>
                <w:lang w:val="en-GB" w:eastAsia="en-GB"/>
              </w:rPr>
              <w:t>Dec Time[%]</w:t>
            </w:r>
          </w:p>
        </w:tc>
        <w:tc>
          <w:tcPr>
            <w:tcW w:w="3262" w:type="dxa"/>
            <w:gridSpan w:val="3"/>
            <w:tcBorders>
              <w:top w:val="nil"/>
              <w:left w:val="single" w:sz="12" w:space="0" w:color="auto"/>
              <w:bottom w:val="single" w:sz="12" w:space="0" w:color="auto"/>
              <w:right w:val="single" w:sz="12" w:space="0" w:color="auto"/>
            </w:tcBorders>
          </w:tcPr>
          <w:p w14:paraId="4F6E2F8B" w14:textId="1D9647CA" w:rsidR="00C152F7" w:rsidRDefault="00C152F7" w:rsidP="001679C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jc w:val="center"/>
              <w:textAlignment w:val="auto"/>
              <w:rPr>
                <w:rFonts w:ascii="Arial" w:hAnsi="Arial" w:cs="Arial"/>
                <w:color w:val="000000"/>
                <w:sz w:val="18"/>
                <w:szCs w:val="18"/>
                <w:lang w:val="en-GB" w:eastAsia="en-GB"/>
              </w:rPr>
            </w:pPr>
            <w:r>
              <w:rPr>
                <w:rFonts w:ascii="Arial" w:hAnsi="Arial" w:cs="Arial"/>
                <w:color w:val="000000"/>
                <w:sz w:val="18"/>
                <w:szCs w:val="18"/>
                <w:lang w:val="en-GB" w:eastAsia="en-GB"/>
              </w:rPr>
              <w:t>102%</w:t>
            </w:r>
          </w:p>
        </w:tc>
      </w:tr>
    </w:tbl>
    <w:p w14:paraId="3FEFD0B0" w14:textId="113EC839" w:rsidR="00C152F7" w:rsidRDefault="00C152F7" w:rsidP="00C152F7">
      <w:pPr>
        <w:rPr>
          <w:lang w:val="en-CA"/>
        </w:rPr>
      </w:pPr>
      <w:r>
        <w:rPr>
          <w:lang w:val="en-CA"/>
        </w:rPr>
        <w:t>As expected, and commonly reported in JVET, there are differences between the two methods, typically at the fourth decimal place. This is due to rounding in the calculations used for combining log files.</w:t>
      </w:r>
    </w:p>
    <w:p w14:paraId="2231D867" w14:textId="01919459" w:rsidR="00C152F7" w:rsidRPr="00C152F7" w:rsidRDefault="00C152F7" w:rsidP="00C152F7">
      <w:pPr>
        <w:rPr>
          <w:lang w:val="en-CA"/>
        </w:rPr>
      </w:pPr>
      <w:r>
        <w:rPr>
          <w:lang w:val="en-CA"/>
        </w:rPr>
        <w:t>It has been verified (with class F), that combining the binary files produced using parallel encodings using the “parcat” program supplied by JVET (having set “HEVC_VPS” at the top of the main parcat source file), produces identical bin files as that produced by single random-access encoder simulations.</w:t>
      </w:r>
    </w:p>
    <w:p w14:paraId="68BBA4C5" w14:textId="6CAEF32C" w:rsidR="001B3859" w:rsidRDefault="00771F14" w:rsidP="00E11923">
      <w:pPr>
        <w:pStyle w:val="Heading1"/>
        <w:rPr>
          <w:lang w:val="en-CA"/>
        </w:rPr>
      </w:pPr>
      <w:r>
        <w:rPr>
          <w:lang w:val="en-CA"/>
        </w:rPr>
        <w:t>Conclusion</w:t>
      </w:r>
    </w:p>
    <w:p w14:paraId="694DE74A" w14:textId="4A389818" w:rsidR="00771F14" w:rsidRPr="00771F14" w:rsidRDefault="00771F14" w:rsidP="00771F14">
      <w:pPr>
        <w:rPr>
          <w:lang w:val="en-CA"/>
        </w:rPr>
      </w:pPr>
      <w:r>
        <w:rPr>
          <w:lang w:val="en-CA"/>
        </w:rPr>
        <w:t>It is proposed to patch the HM software so that parallel encoding of random-access configurations can be used.</w:t>
      </w:r>
      <w:r w:rsidR="001679C4">
        <w:rPr>
          <w:lang w:val="en-CA"/>
        </w:rPr>
        <w:t xml:space="preserve"> It is also proposed that the random-access configurations for HM4:2:0 and RExt are also adjusted to enable this feature by default.</w:t>
      </w:r>
    </w:p>
    <w:p w14:paraId="4EBF97D7"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618A025" w14:textId="50644581" w:rsidR="007F1F8B" w:rsidRPr="005B217D" w:rsidRDefault="0057004A" w:rsidP="009234A5">
      <w:pPr>
        <w:rPr>
          <w:szCs w:val="22"/>
          <w:lang w:val="en-CA"/>
        </w:rPr>
      </w:pPr>
      <w:r w:rsidRPr="0057004A">
        <w:rPr>
          <w:b/>
          <w:lang w:val="en-CA"/>
        </w:rPr>
        <w:t>Sony</w:t>
      </w:r>
      <w:r w:rsidR="005801A2" w:rsidRPr="0057004A">
        <w:rPr>
          <w:b/>
          <w:lang w:val="en-CA"/>
        </w:rPr>
        <w:t xml:space="preserve"> Corporation </w:t>
      </w:r>
      <w:r w:rsidR="00B763D1">
        <w:rPr>
          <w:b/>
          <w:lang w:val="en-CA"/>
        </w:rPr>
        <w:t xml:space="preserve">or Sony Group Companies </w:t>
      </w:r>
      <w:r w:rsidR="005801A2" w:rsidRPr="0057004A">
        <w:rPr>
          <w:b/>
          <w:lang w:val="en-CA"/>
        </w:rPr>
        <w:t>do not have any current or pending patent rights relating to the technology described in this contribution.</w:t>
      </w: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FA9A77" w14:textId="77777777" w:rsidR="00D133BE" w:rsidRDefault="00D133BE">
      <w:r>
        <w:separator/>
      </w:r>
    </w:p>
  </w:endnote>
  <w:endnote w:type="continuationSeparator" w:id="0">
    <w:p w14:paraId="2608712D" w14:textId="77777777" w:rsidR="00D133BE" w:rsidRDefault="00D13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3D92E" w14:textId="38A206FE"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DB6F91">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DB6F91">
      <w:rPr>
        <w:rStyle w:val="PageNumber"/>
        <w:noProof/>
      </w:rPr>
      <w:t>2018-07-14</w:t>
    </w:r>
    <w:r w:rsidRPr="00806DFE">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5835B" w14:textId="77777777" w:rsidR="00D133BE" w:rsidRDefault="00D133BE">
      <w:r>
        <w:separator/>
      </w:r>
    </w:p>
  </w:footnote>
  <w:footnote w:type="continuationSeparator" w:id="0">
    <w:p w14:paraId="3AF53EC5" w14:textId="77777777" w:rsidR="00D133BE" w:rsidRDefault="00D133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1553A"/>
    <w:rsid w:val="00023A2A"/>
    <w:rsid w:val="000308A3"/>
    <w:rsid w:val="000458BC"/>
    <w:rsid w:val="00045C41"/>
    <w:rsid w:val="00046C03"/>
    <w:rsid w:val="00051457"/>
    <w:rsid w:val="00065039"/>
    <w:rsid w:val="0007614F"/>
    <w:rsid w:val="000B0C0F"/>
    <w:rsid w:val="000B1C6B"/>
    <w:rsid w:val="000B4FF9"/>
    <w:rsid w:val="000C09AC"/>
    <w:rsid w:val="000E00F3"/>
    <w:rsid w:val="000F1148"/>
    <w:rsid w:val="000F158C"/>
    <w:rsid w:val="000F2A36"/>
    <w:rsid w:val="000F6C4F"/>
    <w:rsid w:val="00102F3D"/>
    <w:rsid w:val="00124E38"/>
    <w:rsid w:val="0012580B"/>
    <w:rsid w:val="00131F90"/>
    <w:rsid w:val="0013526E"/>
    <w:rsid w:val="00146152"/>
    <w:rsid w:val="00165B71"/>
    <w:rsid w:val="001679C4"/>
    <w:rsid w:val="00171371"/>
    <w:rsid w:val="00175A24"/>
    <w:rsid w:val="0018104A"/>
    <w:rsid w:val="00187E58"/>
    <w:rsid w:val="001A297E"/>
    <w:rsid w:val="001A368E"/>
    <w:rsid w:val="001A7329"/>
    <w:rsid w:val="001A792F"/>
    <w:rsid w:val="001B3859"/>
    <w:rsid w:val="001B4E28"/>
    <w:rsid w:val="001C16B9"/>
    <w:rsid w:val="001C3525"/>
    <w:rsid w:val="001C3AFB"/>
    <w:rsid w:val="001C4082"/>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D0AF6"/>
    <w:rsid w:val="002D16A2"/>
    <w:rsid w:val="002F164D"/>
    <w:rsid w:val="00306206"/>
    <w:rsid w:val="00317D85"/>
    <w:rsid w:val="00327C56"/>
    <w:rsid w:val="003315A1"/>
    <w:rsid w:val="003373EC"/>
    <w:rsid w:val="00342FF4"/>
    <w:rsid w:val="00346148"/>
    <w:rsid w:val="003669EA"/>
    <w:rsid w:val="003706CC"/>
    <w:rsid w:val="00377710"/>
    <w:rsid w:val="003811E9"/>
    <w:rsid w:val="003A2D8E"/>
    <w:rsid w:val="003A7CE6"/>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50540"/>
    <w:rsid w:val="00550A66"/>
    <w:rsid w:val="00567EC7"/>
    <w:rsid w:val="00570013"/>
    <w:rsid w:val="0057004A"/>
    <w:rsid w:val="005801A2"/>
    <w:rsid w:val="005952A5"/>
    <w:rsid w:val="005A33A1"/>
    <w:rsid w:val="005B217D"/>
    <w:rsid w:val="005C385F"/>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5417"/>
    <w:rsid w:val="007023DE"/>
    <w:rsid w:val="00712F60"/>
    <w:rsid w:val="00720E3B"/>
    <w:rsid w:val="0074393F"/>
    <w:rsid w:val="00745F6B"/>
    <w:rsid w:val="00755276"/>
    <w:rsid w:val="0075585E"/>
    <w:rsid w:val="00770571"/>
    <w:rsid w:val="00771F14"/>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87C"/>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3BF2"/>
    <w:rsid w:val="0093636C"/>
    <w:rsid w:val="009374A7"/>
    <w:rsid w:val="00955F6D"/>
    <w:rsid w:val="0097278B"/>
    <w:rsid w:val="00975472"/>
    <w:rsid w:val="009816BA"/>
    <w:rsid w:val="0098551D"/>
    <w:rsid w:val="0099518F"/>
    <w:rsid w:val="009A523D"/>
    <w:rsid w:val="009B02A1"/>
    <w:rsid w:val="009B24FC"/>
    <w:rsid w:val="009F496B"/>
    <w:rsid w:val="00A01439"/>
    <w:rsid w:val="00A02E61"/>
    <w:rsid w:val="00A05CFF"/>
    <w:rsid w:val="00A13048"/>
    <w:rsid w:val="00A46843"/>
    <w:rsid w:val="00A56B97"/>
    <w:rsid w:val="00A6093D"/>
    <w:rsid w:val="00A767DC"/>
    <w:rsid w:val="00A76A6D"/>
    <w:rsid w:val="00A83253"/>
    <w:rsid w:val="00AA6E84"/>
    <w:rsid w:val="00AD05A8"/>
    <w:rsid w:val="00AD577E"/>
    <w:rsid w:val="00AE341B"/>
    <w:rsid w:val="00AF4532"/>
    <w:rsid w:val="00B07CA7"/>
    <w:rsid w:val="00B1279A"/>
    <w:rsid w:val="00B4194A"/>
    <w:rsid w:val="00B5222E"/>
    <w:rsid w:val="00B53179"/>
    <w:rsid w:val="00B600CD"/>
    <w:rsid w:val="00B61C96"/>
    <w:rsid w:val="00B73A2A"/>
    <w:rsid w:val="00B763D1"/>
    <w:rsid w:val="00B94B06"/>
    <w:rsid w:val="00B94C28"/>
    <w:rsid w:val="00BC10BA"/>
    <w:rsid w:val="00BC5AFD"/>
    <w:rsid w:val="00BD5566"/>
    <w:rsid w:val="00BE086E"/>
    <w:rsid w:val="00C04F43"/>
    <w:rsid w:val="00C0609D"/>
    <w:rsid w:val="00C115AB"/>
    <w:rsid w:val="00C152F7"/>
    <w:rsid w:val="00C26CCB"/>
    <w:rsid w:val="00C30249"/>
    <w:rsid w:val="00C33ADC"/>
    <w:rsid w:val="00C3723B"/>
    <w:rsid w:val="00C42466"/>
    <w:rsid w:val="00C606C9"/>
    <w:rsid w:val="00C80288"/>
    <w:rsid w:val="00C84003"/>
    <w:rsid w:val="00C90650"/>
    <w:rsid w:val="00C97D78"/>
    <w:rsid w:val="00CC2AAE"/>
    <w:rsid w:val="00CC5A42"/>
    <w:rsid w:val="00CD0EAB"/>
    <w:rsid w:val="00CE5E02"/>
    <w:rsid w:val="00CF34DB"/>
    <w:rsid w:val="00CF558F"/>
    <w:rsid w:val="00D010C0"/>
    <w:rsid w:val="00D073E2"/>
    <w:rsid w:val="00D133BE"/>
    <w:rsid w:val="00D23BB6"/>
    <w:rsid w:val="00D446EC"/>
    <w:rsid w:val="00D51BF0"/>
    <w:rsid w:val="00D55942"/>
    <w:rsid w:val="00D77FDB"/>
    <w:rsid w:val="00D807BF"/>
    <w:rsid w:val="00D81879"/>
    <w:rsid w:val="00D82FCC"/>
    <w:rsid w:val="00DA17FC"/>
    <w:rsid w:val="00DA7887"/>
    <w:rsid w:val="00DB2C26"/>
    <w:rsid w:val="00DB6F91"/>
    <w:rsid w:val="00DD0051"/>
    <w:rsid w:val="00DD02F4"/>
    <w:rsid w:val="00DE6B43"/>
    <w:rsid w:val="00E11923"/>
    <w:rsid w:val="00E262D4"/>
    <w:rsid w:val="00E36250"/>
    <w:rsid w:val="00E54511"/>
    <w:rsid w:val="00E61DAC"/>
    <w:rsid w:val="00E72B80"/>
    <w:rsid w:val="00E75FE3"/>
    <w:rsid w:val="00E86C4C"/>
    <w:rsid w:val="00E907A3"/>
    <w:rsid w:val="00EA5AE0"/>
    <w:rsid w:val="00EB7AB1"/>
    <w:rsid w:val="00EE7CD8"/>
    <w:rsid w:val="00EF48CC"/>
    <w:rsid w:val="00F00801"/>
    <w:rsid w:val="00F711F1"/>
    <w:rsid w:val="00F73032"/>
    <w:rsid w:val="00F848FC"/>
    <w:rsid w:val="00F84DC0"/>
    <w:rsid w:val="00F9282A"/>
    <w:rsid w:val="00F96BAD"/>
    <w:rsid w:val="00FA139D"/>
    <w:rsid w:val="00FA19F8"/>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2"/>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48377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774</Words>
  <Characters>4412</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5176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Sharman, Karl</cp:lastModifiedBy>
  <cp:revision>16</cp:revision>
  <cp:lastPrinted>1900-01-01T08:00:00Z</cp:lastPrinted>
  <dcterms:created xsi:type="dcterms:W3CDTF">2017-12-03T02:30:00Z</dcterms:created>
  <dcterms:modified xsi:type="dcterms:W3CDTF">2018-07-14T14:06:00Z</dcterms:modified>
</cp:coreProperties>
</file>